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D555" w14:textId="7E7B33EB" w:rsidR="006832FA" w:rsidRPr="00486EDF" w:rsidRDefault="003E7943">
      <w:pPr>
        <w:pStyle w:val="Nadpis1"/>
        <w:jc w:val="center"/>
        <w:rPr>
          <w:rFonts w:eastAsia="Times New Roman"/>
          <w:sz w:val="32"/>
          <w:szCs w:val="32"/>
          <w:u w:val="single"/>
        </w:rPr>
      </w:pPr>
      <w:r w:rsidRPr="00486EDF">
        <w:rPr>
          <w:rFonts w:eastAsia="Times New Roman"/>
          <w:sz w:val="32"/>
          <w:szCs w:val="32"/>
          <w:u w:val="single"/>
        </w:rPr>
        <w:t xml:space="preserve">Smlouva o provedení těžebních činností </w:t>
      </w:r>
      <w:r w:rsidR="00F11DCC">
        <w:rPr>
          <w:rFonts w:eastAsia="Times New Roman"/>
          <w:sz w:val="32"/>
          <w:szCs w:val="32"/>
          <w:u w:val="single"/>
        </w:rPr>
        <w:t>harvestorovou technologií</w:t>
      </w:r>
      <w:r w:rsidRPr="00486EDF">
        <w:rPr>
          <w:rFonts w:eastAsia="Times New Roman"/>
          <w:sz w:val="32"/>
          <w:szCs w:val="32"/>
          <w:u w:val="single"/>
        </w:rPr>
        <w:t xml:space="preserve"> </w:t>
      </w:r>
      <w:r w:rsidR="00D76BA8">
        <w:rPr>
          <w:rFonts w:eastAsia="Times New Roman"/>
          <w:sz w:val="32"/>
          <w:szCs w:val="32"/>
          <w:u w:val="single"/>
        </w:rPr>
        <w:t>v kombinaci s trakčním navijákem</w:t>
      </w:r>
    </w:p>
    <w:p w14:paraId="7381EB05" w14:textId="77777777" w:rsidR="000C4AA0" w:rsidRPr="00A05A90" w:rsidRDefault="000C4AA0">
      <w:pPr>
        <w:pStyle w:val="Nadpis1"/>
        <w:jc w:val="center"/>
        <w:rPr>
          <w:rFonts w:eastAsia="Times New Roman"/>
        </w:rPr>
      </w:pPr>
    </w:p>
    <w:p w14:paraId="58130BA6" w14:textId="15D00ECE" w:rsidR="006832FA" w:rsidRPr="00A05A90" w:rsidRDefault="000C4AA0">
      <w:pPr>
        <w:pStyle w:val="Nadpis3"/>
        <w:jc w:val="center"/>
        <w:rPr>
          <w:rFonts w:eastAsia="Times New Roman"/>
        </w:rPr>
      </w:pPr>
      <w:r w:rsidRPr="00A05A90">
        <w:rPr>
          <w:rFonts w:eastAsia="Times New Roman"/>
        </w:rPr>
        <w:t>Lesy Jáchymov s.r.o.</w:t>
      </w:r>
    </w:p>
    <w:p w14:paraId="6DB2BD1D" w14:textId="77777777" w:rsidR="006832FA" w:rsidRPr="00172D02" w:rsidRDefault="003E7943">
      <w:pPr>
        <w:jc w:val="center"/>
        <w:rPr>
          <w:rFonts w:eastAsia="Times New Roman"/>
        </w:rPr>
      </w:pPr>
      <w:r w:rsidRPr="00172D02">
        <w:rPr>
          <w:rFonts w:eastAsia="Times New Roman"/>
          <w:sz w:val="18"/>
          <w:szCs w:val="18"/>
        </w:rPr>
        <w:t xml:space="preserve">uzavřená níže uvedeného dne, měsíce a roku podle ustanovení § 2586 a násl. zákona č. 89/2012 Sb., občanský zákoník, ve znění pozdějších předpisů (dále jen „Občanský zákoník“) mezi smluvními stranami </w:t>
      </w:r>
    </w:p>
    <w:p w14:paraId="7D0DEB41" w14:textId="77777777" w:rsidR="006832FA" w:rsidRPr="00172D02" w:rsidRDefault="003E7943">
      <w:pPr>
        <w:rPr>
          <w:rFonts w:eastAsia="Times New Roman"/>
          <w:sz w:val="22"/>
          <w:szCs w:val="22"/>
        </w:rPr>
      </w:pPr>
      <w:r w:rsidRPr="00A05A90">
        <w:rPr>
          <w:rFonts w:eastAsia="Times New Roman"/>
          <w:sz w:val="20"/>
          <w:szCs w:val="20"/>
        </w:rPr>
        <w:br/>
      </w:r>
      <w:r w:rsidRPr="00A05A90">
        <w:rPr>
          <w:rFonts w:eastAsia="Times New Roman"/>
          <w:sz w:val="20"/>
          <w:szCs w:val="20"/>
        </w:rPr>
        <w:br/>
      </w:r>
      <w:r w:rsidRPr="00A05A90">
        <w:rPr>
          <w:rFonts w:eastAsia="Times New Roman"/>
          <w:sz w:val="20"/>
          <w:szCs w:val="20"/>
        </w:rPr>
        <w:br/>
      </w:r>
      <w:r w:rsidRPr="00172D02">
        <w:rPr>
          <w:rFonts w:eastAsia="Times New Roman"/>
          <w:sz w:val="22"/>
          <w:szCs w:val="22"/>
        </w:rPr>
        <w:br/>
      </w:r>
      <w:r w:rsidRPr="00172D02">
        <w:rPr>
          <w:rStyle w:val="Siln"/>
          <w:rFonts w:eastAsia="Times New Roman"/>
          <w:sz w:val="22"/>
          <w:szCs w:val="22"/>
        </w:rPr>
        <w:t>Objednatel:</w:t>
      </w:r>
    </w:p>
    <w:tbl>
      <w:tblPr>
        <w:tblW w:w="5000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774"/>
      </w:tblGrid>
      <w:tr w:rsidR="006832FA" w:rsidRPr="00172D02" w14:paraId="1471393A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72835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Název: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E3C04" w14:textId="7C2DCFB4" w:rsidR="006832FA" w:rsidRPr="00172D02" w:rsidRDefault="000C4AA0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Lesy Jáchymov s.</w:t>
            </w:r>
            <w:proofErr w:type="gramStart"/>
            <w:r w:rsidRPr="00172D02">
              <w:rPr>
                <w:rFonts w:eastAsia="Times New Roman"/>
                <w:sz w:val="22"/>
                <w:szCs w:val="22"/>
              </w:rPr>
              <w:t>r.o</w:t>
            </w:r>
            <w:proofErr w:type="gramEnd"/>
          </w:p>
        </w:tc>
      </w:tr>
      <w:tr w:rsidR="006832FA" w:rsidRPr="00172D02" w14:paraId="5981AFA4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D1C64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Sídlo: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71C9E" w14:textId="2D9B768D" w:rsidR="006832FA" w:rsidRPr="00172D02" w:rsidRDefault="000C4AA0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Mathesiova 209, 362 51 Jáchymov</w:t>
            </w:r>
          </w:p>
        </w:tc>
      </w:tr>
      <w:tr w:rsidR="006832FA" w:rsidRPr="00172D02" w14:paraId="62B55A0F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C030A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IČO: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D7605" w14:textId="7AA954D7" w:rsidR="006832FA" w:rsidRPr="00172D02" w:rsidRDefault="000C4AA0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04251521</w:t>
            </w:r>
          </w:p>
        </w:tc>
      </w:tr>
      <w:tr w:rsidR="006832FA" w:rsidRPr="00172D02" w14:paraId="71EC11C9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CCCC9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DIČ: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924F8" w14:textId="0857010C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CZ0</w:t>
            </w:r>
            <w:r w:rsidR="000C4AA0" w:rsidRPr="00172D02">
              <w:rPr>
                <w:rFonts w:eastAsia="Times New Roman"/>
                <w:sz w:val="22"/>
                <w:szCs w:val="22"/>
              </w:rPr>
              <w:t>4251521</w:t>
            </w:r>
          </w:p>
        </w:tc>
      </w:tr>
      <w:tr w:rsidR="006832FA" w:rsidRPr="00172D02" w14:paraId="15D901EC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0058F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Zastoupený: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232EF" w14:textId="63AC247F" w:rsidR="006832FA" w:rsidRPr="00172D02" w:rsidRDefault="000C4AA0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jednatelem Ing. Markem Pencákem</w:t>
            </w:r>
            <w:r w:rsidR="003E7943" w:rsidRPr="00172D02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6832FA" w:rsidRPr="00172D02" w14:paraId="1C778D0C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2C690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Bankovní spojení: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8613F" w14:textId="103728DC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ČSOB a.s.</w:t>
            </w:r>
          </w:p>
        </w:tc>
      </w:tr>
      <w:tr w:rsidR="006832FA" w:rsidRPr="00172D02" w14:paraId="470470A1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AD310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Číslo účtu: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FCE26" w14:textId="2D209ACF" w:rsidR="006832FA" w:rsidRPr="00172D02" w:rsidRDefault="000C4AA0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270860895/0300</w:t>
            </w:r>
          </w:p>
        </w:tc>
      </w:tr>
      <w:tr w:rsidR="006832FA" w:rsidRPr="00172D02" w14:paraId="7029B460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1AEC0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Osoba oprávněná k jednání: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9C290" w14:textId="09BE29AE" w:rsidR="006832FA" w:rsidRPr="00172D02" w:rsidRDefault="000C4AA0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Ing. Marek Pencák, Ing. Jaroslav Bergman</w:t>
            </w:r>
            <w:r w:rsidR="003E7943" w:rsidRPr="00172D02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6832FA" w:rsidRPr="00172D02" w14:paraId="0988A020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9AB35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Telefon/fax: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9CC20" w14:textId="57A547AD" w:rsidR="006832FA" w:rsidRPr="00172D02" w:rsidRDefault="000C4AA0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+420 605 206 794</w:t>
            </w:r>
          </w:p>
        </w:tc>
      </w:tr>
      <w:tr w:rsidR="006832FA" w:rsidRPr="00172D02" w14:paraId="2A6B90B2" w14:textId="77777777" w:rsidTr="000C4AA0">
        <w:trPr>
          <w:tblCellSpacing w:w="15" w:type="dxa"/>
        </w:trPr>
        <w:tc>
          <w:tcPr>
            <w:tcW w:w="19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39D73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Email:</w:t>
            </w:r>
          </w:p>
        </w:tc>
        <w:tc>
          <w:tcPr>
            <w:tcW w:w="297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C3CF6" w14:textId="61F6663F" w:rsidR="006832FA" w:rsidRPr="00172D02" w:rsidRDefault="000C4AA0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pencak@lesyjachymov.cz</w:t>
            </w:r>
            <w:r w:rsidR="003E7943" w:rsidRPr="00172D02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</w:tbl>
    <w:p w14:paraId="7B9AC2A5" w14:textId="77777777" w:rsidR="006832FA" w:rsidRPr="00172D02" w:rsidRDefault="006832FA">
      <w:pPr>
        <w:rPr>
          <w:rFonts w:eastAsia="Times New Roman"/>
          <w:sz w:val="22"/>
          <w:szCs w:val="22"/>
        </w:rPr>
      </w:pPr>
    </w:p>
    <w:p w14:paraId="7B2A26CE" w14:textId="77777777" w:rsidR="006832FA" w:rsidRPr="00172D02" w:rsidRDefault="003E7943">
      <w:pPr>
        <w:pStyle w:val="Normlnweb"/>
        <w:rPr>
          <w:sz w:val="22"/>
          <w:szCs w:val="22"/>
        </w:rPr>
      </w:pPr>
      <w:r w:rsidRPr="00172D02">
        <w:rPr>
          <w:sz w:val="22"/>
          <w:szCs w:val="22"/>
        </w:rPr>
        <w:t>a</w:t>
      </w:r>
    </w:p>
    <w:p w14:paraId="1B1F9836" w14:textId="77777777" w:rsidR="006832FA" w:rsidRPr="00172D02" w:rsidRDefault="003E7943">
      <w:pPr>
        <w:rPr>
          <w:rFonts w:eastAsia="Times New Roman"/>
          <w:sz w:val="22"/>
          <w:szCs w:val="22"/>
        </w:rPr>
      </w:pPr>
      <w:r w:rsidRPr="00172D02">
        <w:rPr>
          <w:rFonts w:eastAsia="Times New Roman"/>
          <w:sz w:val="22"/>
          <w:szCs w:val="22"/>
        </w:rPr>
        <w:br/>
      </w:r>
      <w:r w:rsidRPr="00172D02">
        <w:rPr>
          <w:rStyle w:val="Siln"/>
          <w:rFonts w:eastAsia="Times New Roman"/>
          <w:sz w:val="22"/>
          <w:szCs w:val="22"/>
        </w:rPr>
        <w:t>Zhotovitel:</w:t>
      </w:r>
    </w:p>
    <w:tbl>
      <w:tblPr>
        <w:tblW w:w="5000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5"/>
        <w:gridCol w:w="5774"/>
      </w:tblGrid>
      <w:tr w:rsidR="006832FA" w:rsidRPr="00172D02" w14:paraId="0DA0BE52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F0E56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Název: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ADFF" w14:textId="7607C953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0C92A631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2097B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Sídlo: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AEA4" w14:textId="23C36ED7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53EE9C57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E6CC1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IČO: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28D6" w14:textId="1B7FE0FC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7461BDB4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0A687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DIČ: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3241" w14:textId="77777777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38ECF8BA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79747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Zápis v obchodním rejstříku: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666B" w14:textId="77777777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3A5078C8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EDA19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Zastoupený: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EBD1" w14:textId="13E6E3D7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5E29E0C3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671EA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Bankovní spojení: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EF02" w14:textId="77777777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32CFB051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8C29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Číslo účtu: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A2EA" w14:textId="77777777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0932C449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BEDF0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Osoba oprávněná k jednání: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FA36" w14:textId="1BBF5CBD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6694E71D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0CFC0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Telefon/fax: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EF188" w14:textId="175589E4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832FA" w:rsidRPr="00172D02" w14:paraId="62447072" w14:textId="77777777" w:rsidTr="000C4AA0">
        <w:trPr>
          <w:tblCellSpacing w:w="15" w:type="dxa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33546" w14:textId="77777777" w:rsidR="006832FA" w:rsidRPr="00172D02" w:rsidRDefault="003E7943">
            <w:pPr>
              <w:rPr>
                <w:rFonts w:eastAsia="Times New Roman"/>
                <w:sz w:val="22"/>
                <w:szCs w:val="22"/>
              </w:rPr>
            </w:pPr>
            <w:r w:rsidRPr="00172D02">
              <w:rPr>
                <w:rFonts w:eastAsia="Times New Roman"/>
                <w:sz w:val="22"/>
                <w:szCs w:val="22"/>
              </w:rPr>
              <w:t>Email: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B44A" w14:textId="4797B164" w:rsidR="006832FA" w:rsidRPr="00172D02" w:rsidRDefault="006832FA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69A9F06" w14:textId="77777777" w:rsidR="006832FA" w:rsidRPr="00A05A90" w:rsidRDefault="003E7943">
      <w:pPr>
        <w:spacing w:after="240"/>
        <w:rPr>
          <w:rFonts w:eastAsia="Times New Roman"/>
          <w:sz w:val="20"/>
          <w:szCs w:val="20"/>
        </w:rPr>
      </w:pPr>
      <w:r w:rsidRPr="00A05A90">
        <w:rPr>
          <w:rFonts w:eastAsia="Times New Roman"/>
          <w:sz w:val="20"/>
          <w:szCs w:val="20"/>
        </w:rPr>
        <w:br/>
      </w:r>
    </w:p>
    <w:p w14:paraId="24D3B2AD" w14:textId="77777777" w:rsidR="006832FA" w:rsidRPr="00A05A90" w:rsidRDefault="003E7943">
      <w:pPr>
        <w:jc w:val="center"/>
        <w:rPr>
          <w:rFonts w:eastAsia="Times New Roman"/>
          <w:sz w:val="20"/>
          <w:szCs w:val="20"/>
        </w:rPr>
      </w:pPr>
      <w:r w:rsidRPr="00A05A90">
        <w:rPr>
          <w:rStyle w:val="Siln"/>
          <w:rFonts w:eastAsia="Times New Roman"/>
          <w:sz w:val="20"/>
          <w:szCs w:val="20"/>
        </w:rPr>
        <w:t>ČLÁNEK I.</w:t>
      </w:r>
    </w:p>
    <w:p w14:paraId="687A564F" w14:textId="77777777" w:rsidR="006832FA" w:rsidRPr="00A05A90" w:rsidRDefault="003E7943">
      <w:pPr>
        <w:jc w:val="center"/>
        <w:rPr>
          <w:rFonts w:eastAsia="Times New Roman"/>
          <w:sz w:val="20"/>
          <w:szCs w:val="20"/>
        </w:rPr>
      </w:pPr>
      <w:r w:rsidRPr="00A05A90">
        <w:rPr>
          <w:rStyle w:val="Siln"/>
          <w:rFonts w:eastAsia="Times New Roman"/>
          <w:sz w:val="20"/>
          <w:szCs w:val="20"/>
        </w:rPr>
        <w:t>Předmět Smlouvy</w:t>
      </w:r>
    </w:p>
    <w:p w14:paraId="384E0F22" w14:textId="3A6621C3" w:rsidR="006832FA" w:rsidRPr="00172D02" w:rsidRDefault="003E7943">
      <w:pPr>
        <w:numPr>
          <w:ilvl w:val="0"/>
          <w:numId w:val="1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 xml:space="preserve">Předmětem této Smlouvy o provedení těžebních činností </w:t>
      </w:r>
      <w:r w:rsidR="00E071C9">
        <w:rPr>
          <w:rFonts w:eastAsia="Times New Roman"/>
        </w:rPr>
        <w:t>harvestorovou technologií</w:t>
      </w:r>
      <w:r w:rsidRPr="00172D02">
        <w:rPr>
          <w:rFonts w:eastAsia="Times New Roman"/>
        </w:rPr>
        <w:t xml:space="preserve"> (dále jen „Smlouva“) jsou výhradně činnosti upravené touto Smlouvou a prováděné v rozsahu a za podmínek stanovených touto Smlouvou. </w:t>
      </w:r>
    </w:p>
    <w:p w14:paraId="25A75D8D" w14:textId="70DFBFA0" w:rsidR="006832FA" w:rsidRPr="00172D02" w:rsidRDefault="003E7943">
      <w:pPr>
        <w:numPr>
          <w:ilvl w:val="0"/>
          <w:numId w:val="1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 xml:space="preserve">Zhotovitel se touto Smlouvou zavazuje Objednateli úplatně, na své nebezpečí, v dohodnuté době a za sjednaných podmínek provést dílo, kterým jsou těžební činnosti uvedené v Příloze č. 1 této Smlouvy. Veškeré práce související s provedením požadovaných těžebních činností musí být realizovány v souladu s popisem činností uvedených v zadávací dokumentaci </w:t>
      </w:r>
      <w:r w:rsidR="00C36F9D" w:rsidRPr="00172D02">
        <w:rPr>
          <w:rFonts w:eastAsia="Times New Roman"/>
        </w:rPr>
        <w:t xml:space="preserve">veřejné </w:t>
      </w:r>
      <w:r w:rsidR="00C36F9D" w:rsidRPr="00172D02">
        <w:rPr>
          <w:rFonts w:eastAsia="Times New Roman"/>
        </w:rPr>
        <w:lastRenderedPageBreak/>
        <w:t>poptávky</w:t>
      </w:r>
      <w:r w:rsidRPr="00172D02">
        <w:rPr>
          <w:rFonts w:eastAsia="Times New Roman"/>
        </w:rPr>
        <w:t xml:space="preserve">, v </w:t>
      </w:r>
      <w:r w:rsidR="00F11DCC">
        <w:rPr>
          <w:rFonts w:eastAsia="Times New Roman"/>
        </w:rPr>
        <w:t>r</w:t>
      </w:r>
      <w:r w:rsidR="00F11DCC" w:rsidRPr="00172D02">
        <w:rPr>
          <w:rFonts w:eastAsia="Times New Roman"/>
        </w:rPr>
        <w:t>ámci,</w:t>
      </w:r>
      <w:r w:rsidRPr="00172D02">
        <w:rPr>
          <w:rFonts w:eastAsia="Times New Roman"/>
        </w:rPr>
        <w:t xml:space="preserve"> kterého byla tato Smlouva uzavřena, případně v souladu s pokyny Objednatele udělenými Zhotoviteli při předávání pracoviště v Protokolu o předání a převzetí pracoviště a v rozsahu a za podmínek stanovených Smlouvou a v souladu s příslušnými ustanoveními právních předpisů, které se na zhotovení díla vztahují. </w:t>
      </w:r>
    </w:p>
    <w:p w14:paraId="20BCA7AB" w14:textId="77777777" w:rsidR="006832FA" w:rsidRPr="00172D02" w:rsidRDefault="003E7943">
      <w:pPr>
        <w:numPr>
          <w:ilvl w:val="0"/>
          <w:numId w:val="1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 xml:space="preserve">Objednatel se touto Smlouvou zavazuje zaplatit Zhotoviteli za řádně provedené dílo sjednanou cenu a jednat dle podmínek stanovených Smlouvou a v souladu s příslušnými ustanoveními právních předpisů, které se na dílo vztahují. </w:t>
      </w:r>
    </w:p>
    <w:p w14:paraId="0078FC81" w14:textId="77777777" w:rsidR="006832FA" w:rsidRPr="00A05A90" w:rsidRDefault="006832FA">
      <w:pPr>
        <w:rPr>
          <w:rFonts w:eastAsia="Times New Roman"/>
          <w:sz w:val="20"/>
          <w:szCs w:val="20"/>
        </w:rPr>
      </w:pPr>
    </w:p>
    <w:p w14:paraId="3C7B88E0" w14:textId="77777777" w:rsidR="006832FA" w:rsidRPr="00CA42D8" w:rsidRDefault="003E7943">
      <w:pPr>
        <w:jc w:val="center"/>
        <w:rPr>
          <w:rFonts w:eastAsia="Times New Roman"/>
        </w:rPr>
      </w:pPr>
      <w:r w:rsidRPr="00CA42D8">
        <w:rPr>
          <w:rStyle w:val="Siln"/>
          <w:rFonts w:eastAsia="Times New Roman"/>
        </w:rPr>
        <w:t>ČLÁNEK II.</w:t>
      </w:r>
    </w:p>
    <w:p w14:paraId="6A3ED310" w14:textId="3675575A" w:rsidR="006832FA" w:rsidRPr="00CA42D8" w:rsidRDefault="003E7943">
      <w:pPr>
        <w:jc w:val="center"/>
        <w:rPr>
          <w:rFonts w:eastAsia="Times New Roman"/>
        </w:rPr>
      </w:pPr>
      <w:r w:rsidRPr="00CA42D8">
        <w:rPr>
          <w:rStyle w:val="Siln"/>
          <w:rFonts w:eastAsia="Times New Roman"/>
        </w:rPr>
        <w:t>Místo</w:t>
      </w:r>
      <w:r w:rsidR="00002AF0">
        <w:rPr>
          <w:rStyle w:val="Siln"/>
          <w:rFonts w:eastAsia="Times New Roman"/>
        </w:rPr>
        <w:t xml:space="preserve"> </w:t>
      </w:r>
      <w:r w:rsidRPr="00CA42D8">
        <w:rPr>
          <w:rStyle w:val="Siln"/>
          <w:rFonts w:eastAsia="Times New Roman"/>
        </w:rPr>
        <w:t>plnění</w:t>
      </w:r>
    </w:p>
    <w:p w14:paraId="07340261" w14:textId="76990CD6" w:rsidR="006832FA" w:rsidRPr="00172D02" w:rsidRDefault="003E7943">
      <w:pPr>
        <w:numPr>
          <w:ilvl w:val="0"/>
          <w:numId w:val="2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 xml:space="preserve">Místem plnění, tj. místem provádění veškerých činností podle této Smlouvy, jsou porosty v rámci organizační jednotky Objednatele: </w:t>
      </w:r>
      <w:r w:rsidR="00C36F9D" w:rsidRPr="00172D02">
        <w:rPr>
          <w:rFonts w:eastAsia="Times New Roman"/>
        </w:rPr>
        <w:t>Lesy Jáchymov s.r.o., Mathesiova 209, Jáchymov</w:t>
      </w:r>
      <w:r w:rsidR="00FA3AF1" w:rsidRPr="00172D02">
        <w:rPr>
          <w:rFonts w:eastAsia="Times New Roman"/>
        </w:rPr>
        <w:t>. Pouze doplňkově se místa plnění mohou nacházet i na ostatním území</w:t>
      </w:r>
      <w:r w:rsidR="006E400A" w:rsidRPr="00172D02">
        <w:rPr>
          <w:rFonts w:eastAsia="Times New Roman"/>
        </w:rPr>
        <w:t>.</w:t>
      </w:r>
    </w:p>
    <w:p w14:paraId="714BF67D" w14:textId="77777777" w:rsidR="006832FA" w:rsidRPr="00CA42D8" w:rsidRDefault="006832FA">
      <w:pPr>
        <w:rPr>
          <w:rFonts w:eastAsia="Times New Roman"/>
        </w:rPr>
      </w:pPr>
    </w:p>
    <w:p w14:paraId="0A3BFC8B" w14:textId="77777777" w:rsidR="006832FA" w:rsidRPr="00CA42D8" w:rsidRDefault="003E7943">
      <w:pPr>
        <w:jc w:val="center"/>
        <w:rPr>
          <w:rFonts w:eastAsia="Times New Roman"/>
        </w:rPr>
      </w:pPr>
      <w:r w:rsidRPr="00CA42D8">
        <w:rPr>
          <w:rStyle w:val="Siln"/>
          <w:rFonts w:eastAsia="Times New Roman"/>
        </w:rPr>
        <w:t>ČLÁNEK III.</w:t>
      </w:r>
    </w:p>
    <w:p w14:paraId="3A541FF6" w14:textId="77777777" w:rsidR="006832FA" w:rsidRPr="00CA42D8" w:rsidRDefault="003E7943">
      <w:pPr>
        <w:jc w:val="center"/>
        <w:rPr>
          <w:rFonts w:eastAsia="Times New Roman"/>
        </w:rPr>
      </w:pPr>
      <w:r w:rsidRPr="00CA42D8">
        <w:rPr>
          <w:rStyle w:val="Siln"/>
          <w:rFonts w:eastAsia="Times New Roman"/>
        </w:rPr>
        <w:t>Ceny</w:t>
      </w:r>
    </w:p>
    <w:p w14:paraId="485AF470" w14:textId="77777777" w:rsidR="006832FA" w:rsidRPr="00172D02" w:rsidRDefault="003E7943">
      <w:pPr>
        <w:numPr>
          <w:ilvl w:val="0"/>
          <w:numId w:val="3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Ceny za provedení díla sjednané touto Smlouvou jsou smluvními cenami sjednanými dohodou smluvních stran v souladu s § 2 zákona č. 526/1990 Sb., o cenách, v platném znění.</w:t>
      </w:r>
    </w:p>
    <w:p w14:paraId="64603EE2" w14:textId="0A64193A" w:rsidR="006832FA" w:rsidRPr="00172D02" w:rsidRDefault="003E7943">
      <w:pPr>
        <w:numPr>
          <w:ilvl w:val="0"/>
          <w:numId w:val="3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 xml:space="preserve">Objednatel se zavazuje, že za provedení díla v celém rozsahu dle Smlouvy zaplatí Zhotoviteli dohodnutou cenu </w:t>
      </w:r>
      <w:r w:rsidR="00E071C9">
        <w:rPr>
          <w:rFonts w:eastAsia="Times New Roman"/>
        </w:rPr>
        <w:t>podle nabízených cen veřejné poptávky (příloha č. 1) a skutečně vyrobených m3 dřeva v jednotlivých porostních skupinách.</w:t>
      </w:r>
      <w:r w:rsidRPr="00172D02">
        <w:rPr>
          <w:rFonts w:eastAsia="Times New Roman"/>
        </w:rPr>
        <w:t xml:space="preserve"> Pokud je Zhotovitel plátcem DPH, bude k této ceně účtována DPH ve výši stanovené zákonem č. 235/2004 Sb., o dani z přidané hodnoty, ve znění pozdějších předpisů.</w:t>
      </w:r>
    </w:p>
    <w:p w14:paraId="5B5947E8" w14:textId="77777777" w:rsidR="006832FA" w:rsidRPr="00172D02" w:rsidRDefault="003E7943">
      <w:pPr>
        <w:numPr>
          <w:ilvl w:val="0"/>
          <w:numId w:val="3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Dohodnuté ceny jsou platné po celé období trvání této Smlouvy.</w:t>
      </w:r>
    </w:p>
    <w:p w14:paraId="0B286707" w14:textId="77777777" w:rsidR="006832FA" w:rsidRPr="00A05A90" w:rsidRDefault="006832FA">
      <w:pPr>
        <w:rPr>
          <w:rFonts w:eastAsia="Times New Roman"/>
          <w:sz w:val="20"/>
          <w:szCs w:val="20"/>
        </w:rPr>
      </w:pPr>
    </w:p>
    <w:p w14:paraId="28051F8E" w14:textId="77777777" w:rsidR="006832FA" w:rsidRPr="00CA42D8" w:rsidRDefault="003E7943">
      <w:pPr>
        <w:jc w:val="center"/>
        <w:rPr>
          <w:rFonts w:eastAsia="Times New Roman"/>
        </w:rPr>
      </w:pPr>
      <w:r w:rsidRPr="00CA42D8">
        <w:rPr>
          <w:rStyle w:val="Siln"/>
          <w:rFonts w:eastAsia="Times New Roman"/>
        </w:rPr>
        <w:t>ČLÁNEK IV.</w:t>
      </w:r>
    </w:p>
    <w:p w14:paraId="67986446" w14:textId="77777777" w:rsidR="006832FA" w:rsidRPr="00CA42D8" w:rsidRDefault="003E7943">
      <w:pPr>
        <w:jc w:val="center"/>
        <w:rPr>
          <w:rFonts w:eastAsia="Times New Roman"/>
        </w:rPr>
      </w:pPr>
      <w:r w:rsidRPr="00CA42D8">
        <w:rPr>
          <w:rStyle w:val="Siln"/>
          <w:rFonts w:eastAsia="Times New Roman"/>
        </w:rPr>
        <w:t>Platnost a účinnost Smlouvy</w:t>
      </w:r>
    </w:p>
    <w:p w14:paraId="5C4BBB87" w14:textId="6E1EFB5B" w:rsidR="006832FA" w:rsidRPr="00172D02" w:rsidRDefault="003E7943">
      <w:pPr>
        <w:numPr>
          <w:ilvl w:val="0"/>
          <w:numId w:val="4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Tato Smlouva je platná</w:t>
      </w:r>
      <w:r w:rsidR="00750066" w:rsidRPr="00172D02">
        <w:rPr>
          <w:rFonts w:eastAsia="Times New Roman"/>
        </w:rPr>
        <w:t xml:space="preserve"> a účinná</w:t>
      </w:r>
      <w:r w:rsidRPr="00172D02">
        <w:rPr>
          <w:rFonts w:eastAsia="Times New Roman"/>
        </w:rPr>
        <w:t xml:space="preserve"> </w:t>
      </w:r>
      <w:r w:rsidR="00002AF0">
        <w:rPr>
          <w:rFonts w:eastAsia="Times New Roman"/>
        </w:rPr>
        <w:t xml:space="preserve">od </w:t>
      </w:r>
      <w:r w:rsidRPr="00172D02">
        <w:rPr>
          <w:rFonts w:eastAsia="Times New Roman"/>
        </w:rPr>
        <w:t>okamžik</w:t>
      </w:r>
      <w:r w:rsidR="00002AF0">
        <w:rPr>
          <w:rFonts w:eastAsia="Times New Roman"/>
        </w:rPr>
        <w:t>u</w:t>
      </w:r>
      <w:r w:rsidRPr="00172D02">
        <w:rPr>
          <w:rFonts w:eastAsia="Times New Roman"/>
        </w:rPr>
        <w:t xml:space="preserve"> jejího podpisu smluvními stranami</w:t>
      </w:r>
      <w:r w:rsidR="00002AF0">
        <w:rPr>
          <w:rFonts w:eastAsia="Times New Roman"/>
        </w:rPr>
        <w:t xml:space="preserve"> do </w:t>
      </w:r>
      <w:r w:rsidR="00DC6ED8">
        <w:rPr>
          <w:rFonts w:eastAsia="Times New Roman"/>
        </w:rPr>
        <w:t>15.6</w:t>
      </w:r>
      <w:r w:rsidR="00331B67">
        <w:rPr>
          <w:rFonts w:eastAsia="Times New Roman"/>
        </w:rPr>
        <w:t xml:space="preserve">.2026 </w:t>
      </w:r>
      <w:r w:rsidR="00002AF0">
        <w:rPr>
          <w:rFonts w:eastAsia="Times New Roman"/>
        </w:rPr>
        <w:t>nebo do vyčerpání dohodnuté smluvní ceny</w:t>
      </w:r>
      <w:r w:rsidR="000B1BA4">
        <w:rPr>
          <w:rFonts w:eastAsia="Times New Roman"/>
        </w:rPr>
        <w:t xml:space="preserve"> (+- 30 %)</w:t>
      </w:r>
      <w:r w:rsidRPr="00172D02">
        <w:rPr>
          <w:rFonts w:eastAsia="Times New Roman"/>
        </w:rPr>
        <w:t xml:space="preserve">. </w:t>
      </w:r>
    </w:p>
    <w:p w14:paraId="60660BAC" w14:textId="4EA4F847" w:rsidR="006832FA" w:rsidRPr="00172D02" w:rsidRDefault="003E7943">
      <w:pPr>
        <w:numPr>
          <w:ilvl w:val="0"/>
          <w:numId w:val="4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Samotné uzavření Smlouvy Zhotovitele neopravňuje k jakémukoliv plnění a veškerá plnění poskytne Zhotovitel vůči Objednateli pouze na základě výzvy k plnění.</w:t>
      </w:r>
    </w:p>
    <w:p w14:paraId="45DAB953" w14:textId="77777777" w:rsidR="006832FA" w:rsidRPr="00A05A90" w:rsidRDefault="006832FA">
      <w:pPr>
        <w:rPr>
          <w:rFonts w:eastAsia="Times New Roman"/>
          <w:sz w:val="20"/>
          <w:szCs w:val="20"/>
        </w:rPr>
      </w:pPr>
    </w:p>
    <w:p w14:paraId="730477F2" w14:textId="77777777" w:rsidR="006832FA" w:rsidRPr="00CA42D8" w:rsidRDefault="003E7943">
      <w:pPr>
        <w:jc w:val="center"/>
        <w:rPr>
          <w:rFonts w:eastAsia="Times New Roman"/>
        </w:rPr>
      </w:pPr>
      <w:r w:rsidRPr="00CA42D8">
        <w:rPr>
          <w:rStyle w:val="Siln"/>
          <w:rFonts w:eastAsia="Times New Roman"/>
        </w:rPr>
        <w:t>ČLÁNEK V.</w:t>
      </w:r>
    </w:p>
    <w:p w14:paraId="0D7A741B" w14:textId="48AC3B5A" w:rsidR="006832FA" w:rsidRPr="00CA42D8" w:rsidRDefault="00A05A90">
      <w:pPr>
        <w:jc w:val="center"/>
        <w:rPr>
          <w:rFonts w:eastAsia="Times New Roman"/>
        </w:rPr>
      </w:pPr>
      <w:r w:rsidRPr="00CA42D8">
        <w:rPr>
          <w:rStyle w:val="Siln"/>
          <w:rFonts w:eastAsia="Times New Roman"/>
        </w:rPr>
        <w:t>Ostatní</w:t>
      </w:r>
      <w:r w:rsidR="003E7943" w:rsidRPr="00CA42D8">
        <w:rPr>
          <w:rStyle w:val="Siln"/>
          <w:rFonts w:eastAsia="Times New Roman"/>
        </w:rPr>
        <w:t xml:space="preserve"> ustanovení</w:t>
      </w:r>
    </w:p>
    <w:p w14:paraId="2DC4E695" w14:textId="77777777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Tato Smlouva bude Objednatelem a Zhotovitelem uzavřena písemně.</w:t>
      </w:r>
    </w:p>
    <w:p w14:paraId="75CEB380" w14:textId="77777777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Veškeré změny a doplňky této Smlouvy lze činit pouze písemnými vzestupně číselně označenými dodatky, které nabývají platnosti dnem podpisu smluvními stranami, jinak jsou neplatné.</w:t>
      </w:r>
    </w:p>
    <w:p w14:paraId="15C91962" w14:textId="1FDEA176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Práva a povinnosti smluvních stran touto Smlouvou výslovně neupravené se primárně řídí ustanoveními § 2586 a násl. Občanského zákoníku a dále příslušnými ustanoveními právních předpisů českého právního řádu</w:t>
      </w:r>
      <w:r w:rsidR="00750066" w:rsidRPr="00172D02">
        <w:rPr>
          <w:rFonts w:eastAsia="Times New Roman"/>
        </w:rPr>
        <w:t>.</w:t>
      </w:r>
    </w:p>
    <w:p w14:paraId="5EDF7D05" w14:textId="77777777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Smluvní strany se dohodly, že na Smlouvu se nepoužijí ustanovení § 557 a § 1798 až 1800 Občanského zákoníku.</w:t>
      </w:r>
    </w:p>
    <w:p w14:paraId="3ECC2067" w14:textId="77777777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lastRenderedPageBreak/>
        <w:t>Práva a povinnosti vyplývající z této Smlouvy přecházejí na právní nástupce smluvních stran. Tato práva a povinnosti, jakož i celou Smlouvu, není Zhotovitel bez předchozího písemného souhlasu Objednatele oprávněn postoupit nebo jinak převést na třetí osobu.</w:t>
      </w:r>
    </w:p>
    <w:p w14:paraId="3803E55D" w14:textId="77777777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Případná neplatnost kteréhokoliv ustanovení této Smlouvy nemá vliv na platnost ostatních ustanovení této Smlouvy.</w:t>
      </w:r>
    </w:p>
    <w:p w14:paraId="0882E161" w14:textId="7D021A7A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Smluvní strany se dohodly, že v případě vzniku sporů z této Smlouvy budou k jejich řešení věcně příslušné soudy České republiky.</w:t>
      </w:r>
    </w:p>
    <w:p w14:paraId="2A620F59" w14:textId="77777777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Případné plnění, které bylo poskytnuto bez právního důvodu, se považuje za plnění podle této Smlouvy. Práva a povinnosti vzniklá z tohoto plnění se řídí touto Smlouvou.</w:t>
      </w:r>
    </w:p>
    <w:p w14:paraId="0EF38C65" w14:textId="33CE25F6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Nedílnou součástí této Smlouvy je Příloha č. 1 – Předmět,</w:t>
      </w:r>
      <w:r w:rsidR="00750066" w:rsidRPr="00172D02">
        <w:rPr>
          <w:rFonts w:eastAsia="Times New Roman"/>
        </w:rPr>
        <w:t xml:space="preserve"> pravděpodobný </w:t>
      </w:r>
      <w:r w:rsidRPr="00172D02">
        <w:rPr>
          <w:rFonts w:eastAsia="Times New Roman"/>
        </w:rPr>
        <w:t>rozsah a cena díla.</w:t>
      </w:r>
    </w:p>
    <w:p w14:paraId="305DC7F9" w14:textId="77777777" w:rsidR="006832FA" w:rsidRPr="00172D02" w:rsidRDefault="003E7943">
      <w:pPr>
        <w:numPr>
          <w:ilvl w:val="0"/>
          <w:numId w:val="5"/>
        </w:numPr>
        <w:spacing w:before="100" w:beforeAutospacing="1" w:after="150"/>
        <w:jc w:val="both"/>
        <w:rPr>
          <w:rFonts w:eastAsia="Times New Roman"/>
        </w:rPr>
      </w:pPr>
      <w:r w:rsidRPr="00172D02">
        <w:rPr>
          <w:rFonts w:eastAsia="Times New Roman"/>
        </w:rPr>
        <w:t>Smluvní strany svými podpisy potvrzují, že jsou s obsahem Smlouvy seznámeny, a že Smlouvu uzavírají na základě své svobodné a vážné vůle, nikoliv v tísni a za nápadně nevýhodných podmínek. Na důkaz těchto skutečností připojují podpisy svých statutárních zástupců.</w:t>
      </w:r>
    </w:p>
    <w:p w14:paraId="06E46354" w14:textId="1AB1EDC7" w:rsidR="00F012B4" w:rsidRPr="00172D02" w:rsidRDefault="00F012B4" w:rsidP="00F012B4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Rozdělení předpokládaného zpracování dříví je pouze orientační. Objednavatel je oprávněn provádět změny ve struktuře zpracování bez souhlasu zhotovitele. </w:t>
      </w:r>
    </w:p>
    <w:p w14:paraId="631F7F67" w14:textId="77777777" w:rsidR="006E400A" w:rsidRPr="00172D02" w:rsidRDefault="006E400A" w:rsidP="006E400A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CBC57C" w14:textId="5D039F06" w:rsidR="00F012B4" w:rsidRPr="00172D02" w:rsidRDefault="00F012B4" w:rsidP="00FA3AF1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Zpracování dříví bude probíhat v objednatelem určených lesních porostech, a to v souladu s požadavky objednatele předanými zhotoviteli při předání pracoviště, a bude představovat zejména následující činnosti: </w:t>
      </w:r>
    </w:p>
    <w:p w14:paraId="296410E5" w14:textId="77777777" w:rsidR="00F012B4" w:rsidRPr="00172D02" w:rsidRDefault="00F012B4" w:rsidP="00F012B4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62B1F41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příprava pracoviště;</w:t>
      </w:r>
    </w:p>
    <w:p w14:paraId="6F5B0768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kácení (harvestor / ruční motorovou řezací pilou – dále jen „RMŘP“);</w:t>
      </w:r>
    </w:p>
    <w:p w14:paraId="1238184C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odvětvování (harvestor);</w:t>
      </w:r>
    </w:p>
    <w:p w14:paraId="0D08C44D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měření (harvestor);</w:t>
      </w:r>
    </w:p>
    <w:p w14:paraId="245F634A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krácení kmene na jednotlivé sortimenty (harvestor);</w:t>
      </w:r>
    </w:p>
    <w:p w14:paraId="7A70D2E3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vyvážení dříví na odvozním místo (dále jen „OM“) a uložení na jednotlivé skládky dle sortimentů (vyvážecí souprava);</w:t>
      </w:r>
    </w:p>
    <w:p w14:paraId="555759D5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měření objemu vytěženého dříví na skládkách na lokalitě OM (přejímka dříví) ve spolupráci s lesníkem (zástupcem) objednavatele;</w:t>
      </w:r>
    </w:p>
    <w:p w14:paraId="131E1487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dodržování veškerých prvků ochrany a bezpečnosti práce, provedení všech zabezpečovacích prací pracoviště;</w:t>
      </w:r>
    </w:p>
    <w:p w14:paraId="040631D9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kompletní asanace pracoviště a přibližovacích (vyvážecích) cest a linek;</w:t>
      </w:r>
    </w:p>
    <w:p w14:paraId="7CB30B26" w14:textId="36987284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vyvážení klestu v </w:t>
      </w:r>
      <w:r w:rsidR="00AD703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přibližném</w:t>
      </w: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množství 80 % objemu z vytěžené hmoty;</w:t>
      </w:r>
    </w:p>
    <w:p w14:paraId="7BBFAF48" w14:textId="77777777" w:rsidR="00E071C9" w:rsidRPr="00E071C9" w:rsidRDefault="00E071C9" w:rsidP="00E071C9">
      <w:pPr>
        <w:pStyle w:val="Odstavecseseznamem"/>
        <w:numPr>
          <w:ilvl w:val="0"/>
          <w:numId w:val="19"/>
        </w:numPr>
        <w:spacing w:line="259" w:lineRule="auto"/>
        <w:ind w:left="927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příprava veškerých dokladů nutných k předání díla objednateli. </w:t>
      </w:r>
    </w:p>
    <w:p w14:paraId="5DABC94D" w14:textId="77777777" w:rsidR="00FA3AF1" w:rsidRPr="00172D02" w:rsidRDefault="00FA3AF1" w:rsidP="00FA3AF1">
      <w:pPr>
        <w:jc w:val="both"/>
        <w:rPr>
          <w:rFonts w:eastAsia="Times New Roman"/>
        </w:rPr>
      </w:pPr>
    </w:p>
    <w:p w14:paraId="12FB173C" w14:textId="46AF076F" w:rsidR="00FA3AF1" w:rsidRPr="00172D02" w:rsidRDefault="00FA3AF1" w:rsidP="00FA3AF1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Předmětem plnění dle této smlouvy je rovněž zajištění koordinace prací na této veřejné </w:t>
      </w:r>
      <w:r w:rsidR="007F20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poptávce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 ostatními dodavateli realizujícími jiné lesnické činnosti v dané lokalitě místa plnění a strpění těchto dodavatelů na pracovišti, pokud to dovoluje organizace bezpečnosti práce – dále jen „OBP“.</w:t>
      </w:r>
    </w:p>
    <w:p w14:paraId="7D96E74D" w14:textId="77777777" w:rsidR="006E400A" w:rsidRPr="00172D02" w:rsidRDefault="006E400A" w:rsidP="006E400A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48D030C" w14:textId="77777777" w:rsidR="006E400A" w:rsidRPr="00172D02" w:rsidRDefault="006E400A" w:rsidP="006E400A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Fakturace bude prováděna průběžně po řádném a dle dispozic objednatele ukončení těžby jednotlivých pracovišť (porostů) a přiblížení dříví na jednotlivá OM na základě vzájemně odsouhlaseného soupisu ukončených a objednatelem bez vad a nedodělků převzatých pracovišť. Objednatel se zavazuje dostavit k převzetí pracoviště do tří pracovních dnů ode dne doručení výzvy zhotovitele. </w:t>
      </w:r>
    </w:p>
    <w:p w14:paraId="70BACB95" w14:textId="77777777" w:rsidR="006E400A" w:rsidRPr="00172D02" w:rsidRDefault="006E400A" w:rsidP="006E400A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BEDAC45" w14:textId="37810DBC" w:rsidR="006E400A" w:rsidRPr="00172D02" w:rsidRDefault="006E400A" w:rsidP="006E400A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 zhotovitele fakturované zpracované dříví je rozhodný údaj o množství objednatelem převzatého dříví uvedený na přejímacím protokolu podepsaném zástupci obou smluvních stran nebo objednatelem potvrzeném dodacím listu. </w:t>
      </w:r>
    </w:p>
    <w:p w14:paraId="1E61CC89" w14:textId="77777777" w:rsidR="006E400A" w:rsidRPr="00172D02" w:rsidRDefault="006E400A" w:rsidP="006E400A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F6A4F7" w14:textId="5FBCBEB3" w:rsidR="006E400A" w:rsidRPr="00172D02" w:rsidRDefault="006E400A" w:rsidP="006E400A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Lhůta splatnosti jednotlivých faktur je 30 kalendářních dní ode dne doručení faktury objednateli. </w:t>
      </w:r>
    </w:p>
    <w:p w14:paraId="3C235FAA" w14:textId="77777777" w:rsidR="006E400A" w:rsidRPr="00172D02" w:rsidRDefault="006E400A" w:rsidP="006E400A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2AFA2FE" w14:textId="673FF8F7" w:rsidR="006E400A" w:rsidRPr="00172D02" w:rsidRDefault="006E400A" w:rsidP="006E400A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případě prodlení s úhradou na základě této smlouvy řádně fakturované platby se sjednává úrok z prodlení ve výši 0,01 % z dlužné částky za každý den prodlení po splatnosti. </w:t>
      </w:r>
    </w:p>
    <w:p w14:paraId="381A5FCC" w14:textId="77777777" w:rsidR="006E400A" w:rsidRPr="00172D02" w:rsidRDefault="006E400A" w:rsidP="006E400A">
      <w:pPr>
        <w:jc w:val="both"/>
        <w:rPr>
          <w:rFonts w:eastAsia="Times New Roman"/>
        </w:rPr>
      </w:pPr>
    </w:p>
    <w:p w14:paraId="770CB3B3" w14:textId="7A11DEF0" w:rsidR="006E400A" w:rsidRPr="00172D02" w:rsidRDefault="006E400A" w:rsidP="006E400A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Zhotovitel se zavazuje zaplatit objednateli smluvní pokutu ve výši 1 000,-Kč za každý započatý den prodlení v případě, že z důvodů nezaviněných objednatelem nebude předmětné dílo sjednané v této smlouvě zhotovitelem řádně a včas zhotoveno ve </w:t>
      </w:r>
      <w:r w:rsid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sjednaných 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lhůtách</w:t>
      </w:r>
      <w:r w:rsidR="00E071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D56DA88" w14:textId="77777777" w:rsidR="006E400A" w:rsidRPr="00172D02" w:rsidRDefault="006E400A" w:rsidP="006E400A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0A5AAA" w14:textId="77777777" w:rsidR="006E400A" w:rsidRPr="00172D02" w:rsidRDefault="006E400A" w:rsidP="006E400A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Zhotovitel se dále zavazuje uhradit objednateli smluvní pokutu v případech: </w:t>
      </w:r>
    </w:p>
    <w:p w14:paraId="5044FBA1" w14:textId="77777777" w:rsidR="006E400A" w:rsidRPr="00172D02" w:rsidRDefault="006E400A" w:rsidP="006E400A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Neodstranitelné vady díla smluvní pokutu ve výši 5 % z ceny části díla, dotčeného vadou; a dále </w:t>
      </w:r>
    </w:p>
    <w:p w14:paraId="01764175" w14:textId="63DFC946" w:rsidR="006E400A" w:rsidRDefault="00CF34B9" w:rsidP="006E400A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500</w:t>
      </w:r>
      <w:r w:rsidR="006E400A"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,-Kč za každý poškozený strom, který nebyl na náklad zhotovitele ošetřen v den vzniku poškození;</w:t>
      </w:r>
    </w:p>
    <w:p w14:paraId="2C2D6E32" w14:textId="5F6A3839" w:rsidR="000B1BA4" w:rsidRPr="00172D02" w:rsidRDefault="00AD7032" w:rsidP="006E400A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neúměrné škody na přirozeném zmlazení zapříčiněné těžbou nebo vyvážením může být </w:t>
      </w:r>
      <w:r w:rsidR="006B6B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určité množství m</w:t>
      </w:r>
      <w:r w:rsidR="006B6B1A" w:rsidRPr="00AD703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>3</w:t>
      </w:r>
      <w:r w:rsidR="006B6B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cena snížena až o 30 % </w:t>
      </w:r>
      <w:r w:rsidR="00DD766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oproti ceně sjednané touto smlouvou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0B1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tom, zda je škoda neúměrná</w:t>
      </w:r>
      <w:r w:rsidR="00982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6B6B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na jaké množství bude uplatněna pokuta</w:t>
      </w:r>
      <w:r w:rsidR="0098256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 w:rsidR="000B1BA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rozhoduje jednatel Lesy Jáchymov s.r.o.</w:t>
      </w:r>
      <w:r w:rsidR="00DD766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 předchozím oznámení dodavateli prací. </w:t>
      </w:r>
    </w:p>
    <w:p w14:paraId="665B349F" w14:textId="77777777" w:rsidR="006E400A" w:rsidRPr="00172D02" w:rsidRDefault="006E400A" w:rsidP="003552C8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FE9708" w14:textId="77777777" w:rsidR="006E400A" w:rsidRPr="00172D02" w:rsidRDefault="006E400A" w:rsidP="006E400A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pokuty jsou splatné 30 kalendářních dnů ode dne doručení výzvy zhotoviteli. </w:t>
      </w:r>
    </w:p>
    <w:p w14:paraId="68F4F934" w14:textId="77777777" w:rsidR="006E400A" w:rsidRPr="00172D02" w:rsidRDefault="006E400A" w:rsidP="003552C8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E4F994" w14:textId="48C264B6" w:rsidR="006E400A" w:rsidRDefault="006E400A" w:rsidP="003552C8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strany se dohodly, že zhotovitel není povinen zaplatit smluvní pokutu, jestliže porušení smluvní povinnosti nezavinil. </w:t>
      </w:r>
    </w:p>
    <w:p w14:paraId="700ED79C" w14:textId="77777777" w:rsidR="00002AF0" w:rsidRPr="00002AF0" w:rsidRDefault="00002AF0" w:rsidP="00002AF0">
      <w:pPr>
        <w:jc w:val="both"/>
        <w:rPr>
          <w:rFonts w:eastAsia="Times New Roman"/>
        </w:rPr>
      </w:pPr>
    </w:p>
    <w:p w14:paraId="21475F9C" w14:textId="77777777" w:rsidR="006E400A" w:rsidRPr="00172D02" w:rsidRDefault="006E400A" w:rsidP="006E400A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pokuty sjednané touto smlouvou hradí povinná strana nezávisle na tom, zda a v jaké výši vznikne druhé straně škoda, kterou lze vymáhat samostatně a bez ohledu na její výši. Smluvní pokuty se tedy nezapočítávají na náhradu škody, tj. vedle smluvní pokuty se hradí náhrada škody, a to v celé výši. Náhradu škody jsou smluvní strany oprávněny vymáhat kdykoliv, a to bez ohledu na případné odstoupení kterékoli ze smluvních stran od smlouvy. </w:t>
      </w:r>
    </w:p>
    <w:p w14:paraId="2D52F127" w14:textId="77777777" w:rsidR="003552C8" w:rsidRPr="00172D02" w:rsidRDefault="003552C8" w:rsidP="003552C8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F6BDF6F" w14:textId="5536A517" w:rsidR="003552C8" w:rsidRPr="00172D02" w:rsidRDefault="003552C8" w:rsidP="003552C8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Všechna pracoviště budou předána zástupcem objednatele pochůzkou před zahájením prací, při které bude zhotovitel seznámen se závaznými pokyny objednatele a z toho vyplývajícím technologickým postupem na daném pracovišti. Provádění prací bude koordinováno s lesníkem příslušného lesního úseku. </w:t>
      </w:r>
    </w:p>
    <w:p w14:paraId="7C765846" w14:textId="77777777" w:rsidR="003552C8" w:rsidRPr="00172D02" w:rsidRDefault="003552C8" w:rsidP="003552C8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84CFC43" w14:textId="1FA94C45" w:rsidR="003552C8" w:rsidRPr="00172D02" w:rsidRDefault="003552C8" w:rsidP="003552C8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Vytěžená a přiblížená hmota bude změřena a převzata na jednotlivých pracovištích, na lokalitě OM, za účasti zástupce objednatele a zhotovitele. Výsledek měření bude použit jako podklad k fakturaci.</w:t>
      </w:r>
    </w:p>
    <w:p w14:paraId="3894AD0C" w14:textId="77777777" w:rsidR="003552C8" w:rsidRPr="00172D02" w:rsidRDefault="003552C8" w:rsidP="003552C8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3F8BD9" w14:textId="36476606" w:rsidR="003552C8" w:rsidRPr="00002AF0" w:rsidRDefault="003552C8" w:rsidP="00002AF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02AF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Zhotovitel je dále při realizaci díla dle této smlouvy povinen:</w:t>
      </w:r>
    </w:p>
    <w:p w14:paraId="7FE4E1CA" w14:textId="27D1E92D" w:rsidR="003552C8" w:rsidRPr="00172D02" w:rsidRDefault="003552C8" w:rsidP="003552C8">
      <w:pPr>
        <w:pStyle w:val="Odstavecseseznamem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vykacování stromů z přirozeného zmlazení použít technologii těžby pomocí RMŘP a dodržování směrové kácení, to platí i pro ostatní způsoby těžby pomocí RMŘP;</w:t>
      </w:r>
    </w:p>
    <w:p w14:paraId="0AB6FA32" w14:textId="77777777" w:rsidR="003552C8" w:rsidRPr="00172D02" w:rsidRDefault="003552C8" w:rsidP="003552C8">
      <w:pPr>
        <w:pStyle w:val="Odstavecseseznamem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provádět všechny činnosti, tak aby nedocházelo k poškozování přirozeného zmlazení;</w:t>
      </w:r>
    </w:p>
    <w:p w14:paraId="28A914BA" w14:textId="77777777" w:rsidR="003552C8" w:rsidRPr="00172D02" w:rsidRDefault="003552C8" w:rsidP="003552C8">
      <w:pPr>
        <w:pStyle w:val="Odstavecseseznamem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technologické parametry výšky pařezů po vytěžených stromech;</w:t>
      </w:r>
    </w:p>
    <w:p w14:paraId="798CDEC3" w14:textId="695F60E1" w:rsidR="003552C8" w:rsidRPr="00172D02" w:rsidRDefault="003552C8" w:rsidP="003552C8">
      <w:pPr>
        <w:pStyle w:val="Odstavecseseznamem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zpracovat veškeré stromy určené k</w:t>
      </w:r>
      <w:r w:rsidR="00002AF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těžbě</w:t>
      </w:r>
      <w:r w:rsidR="00002AF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(např.</w:t>
      </w:r>
      <w:r w:rsidR="00002AF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i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zavětvené</w:t>
      </w:r>
      <w:proofErr w:type="spellEnd"/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rozdvojené, silné listnaté stromy atd.);</w:t>
      </w:r>
    </w:p>
    <w:p w14:paraId="2C4ACBB6" w14:textId="77777777" w:rsidR="003552C8" w:rsidRPr="00172D02" w:rsidRDefault="003552C8" w:rsidP="003552C8">
      <w:pPr>
        <w:pStyle w:val="Odstavecseseznamem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dodržovat bezpečnostní, požární, hygienické a ekologické předpisy na pracovišti objednatele. </w:t>
      </w:r>
    </w:p>
    <w:p w14:paraId="19B10EE2" w14:textId="77777777" w:rsidR="003552C8" w:rsidRPr="00172D02" w:rsidRDefault="003552C8" w:rsidP="003552C8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490D835" w14:textId="77777777" w:rsidR="003552C8" w:rsidRPr="00172D02" w:rsidRDefault="003552C8" w:rsidP="003552C8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0930E1A" w14:textId="12DA8E59" w:rsidR="003552C8" w:rsidRPr="00172D02" w:rsidRDefault="003552C8" w:rsidP="003552C8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Zhotovitel je povinen zajistit minimalizaci vzniku případných škod na lesních porostech a lesní dopravní síti při provádění díla. Dále je povinen neprodleně po ukončení díla provést asanaci pracoviště a přibližovacích (vyvážecích) cest a linek. </w:t>
      </w:r>
    </w:p>
    <w:p w14:paraId="211031D7" w14:textId="77777777" w:rsidR="003552C8" w:rsidRPr="00172D02" w:rsidRDefault="003552C8" w:rsidP="003552C8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6F78C6" w14:textId="35DA190C" w:rsidR="003552C8" w:rsidRPr="00172D02" w:rsidRDefault="003552C8" w:rsidP="003552C8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Zhotovitel a jeho poddodavatelé jsou po celou dobu trvání smlouvy v rámci realizace díla až do jeho ukončení povinni splňovat všechny kvalifikační předpoklady bezprostředně související s předmětem plnění díla, které byly prokázány v předchozím výběrovém řízení, na </w:t>
      </w:r>
      <w:r w:rsidR="00002AF0"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základě,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něhož byla se zhotovitelem, jakožto vybraným dodavatelem, uzavřena příslušná smlouva na předmět veřejné </w:t>
      </w:r>
      <w:r w:rsidR="007F202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poptávky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Zhotovitel je povinen předložit doklady prokazující splnění kvalifikačních předpokladů do 15 kalendářních dnů ode dne změny kvalifikace, která nastala na straně dodavatele, popř. poddodavatele. </w:t>
      </w:r>
    </w:p>
    <w:p w14:paraId="2F793573" w14:textId="77777777" w:rsidR="003552C8" w:rsidRPr="00172D02" w:rsidRDefault="003552C8" w:rsidP="003552C8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804375F" w14:textId="77777777" w:rsidR="003552C8" w:rsidRPr="00172D02" w:rsidRDefault="003552C8" w:rsidP="003552C8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Objednatel je oprávněn během provádění díla kontrolovat jeho kvalitu, dodržování bezpečnosti práce, požární ochrany a ochrany životního prostředí, a dále nařídit okamžité přerušení vykonávané práce při bezprostředním ohrožení života nebo zdraví zhotovitele, případně jiných osob, stejně jako při ohrožení majetku nebo životního prostředí, a to až do odstranění hrozícího nebezpečí. Za prostoje, vzniklé z výše uvedených důvodů, objednatel neodpovídá. </w:t>
      </w:r>
    </w:p>
    <w:p w14:paraId="3BE94254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953E6B" w14:textId="5B2CA23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D02">
        <w:rPr>
          <w:rFonts w:ascii="Times New Roman" w:eastAsia="Times New Roman" w:hAnsi="Times New Roman" w:cs="Times New Roman"/>
          <w:sz w:val="24"/>
          <w:szCs w:val="24"/>
        </w:rPr>
        <w:t xml:space="preserve">Obě smluvní strany nesou odpovědnost za prodlení, za vady a za škody, tak jak tyto druhy odpovědnosti vyplývající z této smlouvy a příslušných právních předpisů. </w:t>
      </w:r>
    </w:p>
    <w:p w14:paraId="20887D05" w14:textId="77777777" w:rsidR="00A05A90" w:rsidRPr="00172D02" w:rsidRDefault="00A05A90" w:rsidP="00A05A90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F30DCBE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Zhotovitel je povinen veškeré činnosti upravené touto smlouvou vykonávat tak, aby neohrozil životní prostřední, majetek objednatele, ani jiných právnických nebo fyzických osob, ani zdraví svých zaměstnanců nebo třetích osob. </w:t>
      </w:r>
    </w:p>
    <w:p w14:paraId="00913A25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705E1A" w14:textId="77777777" w:rsidR="00A05A90" w:rsidRPr="00172D02" w:rsidRDefault="00A05A90" w:rsidP="00A05A90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D70249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Zhotovitel odpovídá za škody, které vzniknou v souvislosti se zajišťováním a prováděním činností zpravených touto smlouvou. Zhotovitel odpovídá i za škody, které způsobí jeho zaměstnanci a právnické nebo fyzické osoby pro něj pracující cestou do místa plnění, v místě plnění a v jejich bezprostředním okolí nebo cestou z místa plnění. </w:t>
      </w:r>
    </w:p>
    <w:p w14:paraId="2E7F6C9C" w14:textId="77777777" w:rsidR="00A05A90" w:rsidRPr="00172D02" w:rsidRDefault="00A05A90" w:rsidP="00A05A90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765816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Zhotovitel je povinen zajisti organizaci práce tak, aby na pracovišti nepracoval nikdo osamoceně, a aby v případě potřeby byla zajištěna pomoc. </w:t>
      </w:r>
    </w:p>
    <w:p w14:paraId="7C1E45C4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067611F" w14:textId="77777777" w:rsidR="00A05A90" w:rsidRPr="00172D02" w:rsidRDefault="00A05A90" w:rsidP="00A05A90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905B1EA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Zhotovitel odpovídá zejména za:</w:t>
      </w:r>
    </w:p>
    <w:p w14:paraId="3A8714B5" w14:textId="77777777" w:rsidR="00A05A90" w:rsidRPr="00172D02" w:rsidRDefault="00A05A90" w:rsidP="00A05A90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Škody na životním prostředí, životech a zdraví lidí, živočichů a škody na majetku objednatele či dalších osob, ke kterým dojde v důsledku používání nevhodných technologií, používání nevhodných ropných produktů, nepovolených chemikálií, 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závadných látek a materiálů, a nedodržením obecně platných předpisů, zákona č. 254/2001 Sb., o vodách, ve znění pozdějších předpisů apod. </w:t>
      </w:r>
    </w:p>
    <w:p w14:paraId="6B322E28" w14:textId="77777777" w:rsidR="00A05A90" w:rsidRPr="00172D02" w:rsidRDefault="00A05A90" w:rsidP="00A05A90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Dodržování povinností vyplývajících pro vlastníka lesa z ustanovení § 32 odst. 8 zákona č. 289/1995 Sb., o lesích, ve znění pozdějších předpisů, při činnostech prováděných v místě plnění, </w:t>
      </w:r>
    </w:p>
    <w:p w14:paraId="7F219C87" w14:textId="77777777" w:rsidR="00A05A90" w:rsidRPr="00172D02" w:rsidRDefault="00A05A90" w:rsidP="00A05A90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Technický stav používaných mechanizačních prostředků, nástrojů a nářadí, a to že budou odpovídat určené technologii, vhodnost ochranných pracovních prostředků svých zaměstnanců a jejich používání, </w:t>
      </w:r>
    </w:p>
    <w:p w14:paraId="477EEBBE" w14:textId="77777777" w:rsidR="00A05A90" w:rsidRPr="00172D02" w:rsidRDefault="00A05A90" w:rsidP="00A05A90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Předepsanou kvalifikaci a platnost oprávnění (pokud je na sjednanou práci a použitý prostředek stanoveno),</w:t>
      </w:r>
    </w:p>
    <w:p w14:paraId="6B26A5DF" w14:textId="24918538" w:rsidR="00A05A90" w:rsidRPr="00172D02" w:rsidRDefault="00A05A90" w:rsidP="00A05A90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Dodržování předpisů o bezpečnosti a ochraně zdraví při práci a předpisů o požární ochraně při dohodnuté činnosti na určeném stanovišti, kde se s vědomím objednavatele ve stanoveném období zdržuje,</w:t>
      </w:r>
    </w:p>
    <w:p w14:paraId="44B651A6" w14:textId="77777777" w:rsidR="00A05A90" w:rsidRPr="00172D02" w:rsidRDefault="00A05A90" w:rsidP="00A05A90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Škody vzniklé aplikací chemických prostředků v rozporu s návodem či s platnými předpisy na ochranu životního prostředí,</w:t>
      </w:r>
    </w:p>
    <w:p w14:paraId="21672E0A" w14:textId="77777777" w:rsidR="00A05A90" w:rsidRPr="00172D02" w:rsidRDefault="00A05A90" w:rsidP="00A05A90">
      <w:pPr>
        <w:pStyle w:val="Odstavecseseznamem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Neohrožení provozu na silničních komunikacích, železničních tratí a na telefonním a elektrickém vedení. </w:t>
      </w:r>
    </w:p>
    <w:p w14:paraId="0E5DFC38" w14:textId="77777777" w:rsidR="00A05A90" w:rsidRPr="00172D02" w:rsidRDefault="00A05A90" w:rsidP="00A05A90">
      <w:pPr>
        <w:pStyle w:val="Odstavecseseznamem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388CDA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Odpovědnost za škody způsobené provozní činností se řídí příslušnými ustanoveními Občanského zákoníku. Výše náhrady škody na lesních porostech se řídí vyhláškou </w:t>
      </w:r>
      <w:proofErr w:type="spellStart"/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MZe</w:t>
      </w:r>
      <w:proofErr w:type="spellEnd"/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ČR č. 55/1999 Sb. Zhotovitel se zavazuje nahradit objednateli veškeré škody, které způsobí objednateli porušením právních předpisů a porušení povinností plynoucích z této smlouvy. </w:t>
      </w:r>
    </w:p>
    <w:p w14:paraId="0F8069A8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C61F912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Odpovědnost za škody způsobené jedné smluvní straně druhou smluvní stranou a povinnost takové škody nahradit se vztahuje i na pokuty pravomocně uložené orgány státní správy. </w:t>
      </w:r>
    </w:p>
    <w:p w14:paraId="659CF35D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1313018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Objednatel neodpovídá za škody, které zhotovitel způsobí při plnění podle této smlouvy nebo při plnění v rozporu s ní.</w:t>
      </w:r>
    </w:p>
    <w:p w14:paraId="670EE57A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1867494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Zhotovitel odpovídá za plnění smlouvy v souladu s českými právními předpisy. </w:t>
      </w:r>
    </w:p>
    <w:p w14:paraId="5E3323E3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AF4984C" w14:textId="7F38FCC9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Zhotovitel odpovídá za takové vady díl</w:t>
      </w:r>
      <w:r w:rsidR="00493C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které byly způsobeny porušením povinností Zhotovitele, a to i když se vada stane zjevnou až po převzetí díla objednatelem. </w:t>
      </w:r>
    </w:p>
    <w:p w14:paraId="44839DD6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84AE8E5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Má-li dílo vady, je objednatel oprávněn požadovat jejich bezplatné odstranění nebo přiměřenou slevu z ceny za provedené dílo. </w:t>
      </w:r>
    </w:p>
    <w:p w14:paraId="3CD55DFA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AD06C3" w14:textId="1EA98044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Jestliže objednatel zhotovitele upozorní na vady a tento vady v dohodnuté lhůtě neodstraní, nebo jde-li o vady neodstranitelné, je objednatel oprávněn odstoupit od této smlouvy nebo požadovat slevu z ceny za provedené dílo. </w:t>
      </w:r>
    </w:p>
    <w:p w14:paraId="6D8146DF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6ADC98" w14:textId="1FF41528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D02">
        <w:rPr>
          <w:rFonts w:ascii="Times New Roman" w:eastAsia="Times New Roman" w:hAnsi="Times New Roman" w:cs="Times New Roman"/>
          <w:sz w:val="24"/>
          <w:szCs w:val="24"/>
        </w:rPr>
        <w:t>Platnost, účinnost a trvání této smlouvy jako celku končí:</w:t>
      </w:r>
    </w:p>
    <w:p w14:paraId="7D9D9EE3" w14:textId="77777777" w:rsidR="00A05A90" w:rsidRPr="00172D02" w:rsidRDefault="00A05A90" w:rsidP="00A05A90">
      <w:pPr>
        <w:pStyle w:val="Odstavecseseznamem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dokončením díla, </w:t>
      </w:r>
    </w:p>
    <w:p w14:paraId="22E56B6B" w14:textId="77777777" w:rsidR="00A05A90" w:rsidRPr="00172D02" w:rsidRDefault="00A05A90" w:rsidP="00A05A90">
      <w:pPr>
        <w:pStyle w:val="Odstavecseseznamem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písemnou dohodou smluvních stran,</w:t>
      </w:r>
    </w:p>
    <w:p w14:paraId="5656B293" w14:textId="77777777" w:rsidR="00A05A90" w:rsidRPr="00172D02" w:rsidRDefault="00A05A90" w:rsidP="00A05A90">
      <w:pPr>
        <w:pStyle w:val="Odstavecseseznamem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zánikem nebo zrušením některé ze smluvních strany bez právního nástupce, </w:t>
      </w:r>
    </w:p>
    <w:p w14:paraId="570D8EE9" w14:textId="77777777" w:rsidR="00A05A90" w:rsidRPr="00172D02" w:rsidRDefault="00A05A90" w:rsidP="00A05A90">
      <w:pPr>
        <w:pStyle w:val="Odstavecseseznamem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písemným odstoupením od smlouvy, vznikne-li některý ze zákonných důvodů pro odstoupení od smlouvy,</w:t>
      </w:r>
    </w:p>
    <w:p w14:paraId="3E3074DC" w14:textId="77777777" w:rsidR="00A05A90" w:rsidRPr="00172D02" w:rsidRDefault="00A05A90" w:rsidP="00A05A90">
      <w:pPr>
        <w:pStyle w:val="Odstavecseseznamem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písemným odstoupením od smlouvy z důvodů podstatného porušení smlouvy.</w:t>
      </w:r>
    </w:p>
    <w:p w14:paraId="63FFEB32" w14:textId="77777777" w:rsidR="00A05A90" w:rsidRPr="00172D02" w:rsidRDefault="00A05A90" w:rsidP="00A05A90">
      <w:pPr>
        <w:pStyle w:val="Odstavecseseznamem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EEBDBF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Za podstatné porušení této smlouvy je považováno:</w:t>
      </w:r>
    </w:p>
    <w:p w14:paraId="40F22765" w14:textId="5184BFAB" w:rsidR="00A05A90" w:rsidRPr="00172D02" w:rsidRDefault="00A05A90" w:rsidP="00A05A90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opakované (nejméně 3x) nedodržení povinností zhotovitele stanovené touto smlouvou</w:t>
      </w:r>
    </w:p>
    <w:p w14:paraId="7B76C8DE" w14:textId="5B70EC73" w:rsidR="00A05A90" w:rsidRPr="00172D02" w:rsidRDefault="00A05A90" w:rsidP="00A05A90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hrubé nebo opakované (nejméně </w:t>
      </w:r>
      <w:r w:rsidR="00493CC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x) porušení zásad bezpečnosti a ochrany zdraví při práci a péče o životní prostředí;</w:t>
      </w:r>
    </w:p>
    <w:p w14:paraId="1704D4BA" w14:textId="6CB9EB0B" w:rsidR="00A05A90" w:rsidRPr="00172D02" w:rsidRDefault="00A05A90" w:rsidP="00A05A90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bezdůvodné přerušení prací zhotovitelem, které trvá déle než 5 dnů, nedohodnou-li se Smluvní strany jinak;</w:t>
      </w:r>
    </w:p>
    <w:p w14:paraId="2F61A296" w14:textId="77777777" w:rsidR="00A05A90" w:rsidRPr="00172D02" w:rsidRDefault="00A05A90" w:rsidP="00A05A90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zjištění podstatných vady při plnění smlouvy zhotovitelem, jako nedodržení kompletnosti zpracování porostu, těžba mimo dohodnutý rozsah, vážné poškozování okolních stromů či nedodržení sortimentace a kvalitativních ukazatelů vyrobených sortimentů;</w:t>
      </w:r>
    </w:p>
    <w:p w14:paraId="4FA7251D" w14:textId="11246B9F" w:rsidR="00A05A90" w:rsidRPr="00172D02" w:rsidRDefault="00A05A90" w:rsidP="00A05A90">
      <w:pPr>
        <w:pStyle w:val="Odstavecseseznamem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další důvody podle Občanského zákoníku. </w:t>
      </w:r>
    </w:p>
    <w:p w14:paraId="5A47B475" w14:textId="77777777" w:rsidR="00A05A90" w:rsidRPr="00172D02" w:rsidRDefault="00A05A90" w:rsidP="00A05A90">
      <w:pPr>
        <w:pStyle w:val="Odstavecseseznamem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BE2CE10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 případě ukončení platnosti této smlouvy jsou smluvní strany povinny ve lhůtě 14 kalendářních dnů od ukončení platnosti smlouvy vypořádat vzájemně své závazky a pohledávky vyplývající z této smlouvy. </w:t>
      </w:r>
    </w:p>
    <w:p w14:paraId="17080253" w14:textId="77777777" w:rsidR="00A05A90" w:rsidRPr="00172D02" w:rsidRDefault="00A05A90" w:rsidP="00A05A90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94DDAB5" w14:textId="77777777" w:rsidR="00A05A90" w:rsidRPr="00172D02" w:rsidRDefault="00A05A90" w:rsidP="00A05A90">
      <w:pPr>
        <w:pStyle w:val="Odstavecseseznamem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742A0D6" w14:textId="327CB20B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D02">
        <w:rPr>
          <w:rFonts w:ascii="Times New Roman" w:eastAsia="Times New Roman" w:hAnsi="Times New Roman" w:cs="Times New Roman"/>
          <w:sz w:val="24"/>
          <w:szCs w:val="24"/>
        </w:rPr>
        <w:t>Smlouvy je vyhotovena ve dvou stejnopisech, po jednom pro každou smluvní stranu. Může být změněna nebo zrušena pouze písemnou dohodou obou smluvních stran.</w:t>
      </w:r>
    </w:p>
    <w:p w14:paraId="67D015BB" w14:textId="77777777" w:rsidR="00A05A90" w:rsidRPr="00172D02" w:rsidRDefault="00A05A90" w:rsidP="00A05A90">
      <w:pPr>
        <w:jc w:val="both"/>
        <w:rPr>
          <w:rFonts w:eastAsia="Times New Roman"/>
        </w:rPr>
      </w:pPr>
    </w:p>
    <w:p w14:paraId="34DE9202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Zhotovitel není oprávněn postoupit pohledávku plynoucí z této smlouvy třetí osobě bez předchozího písemného souhlasu objednatele. </w:t>
      </w:r>
    </w:p>
    <w:p w14:paraId="2296F930" w14:textId="77777777" w:rsidR="00A05A90" w:rsidRPr="00172D02" w:rsidRDefault="00A05A90" w:rsidP="00A05A90">
      <w:pPr>
        <w:pStyle w:val="Odstavecseseznamem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4E27E1B" w14:textId="7F99DEDA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D02">
        <w:rPr>
          <w:rFonts w:ascii="Times New Roman" w:eastAsia="Times New Roman" w:hAnsi="Times New Roman" w:cs="Times New Roman"/>
          <w:sz w:val="24"/>
          <w:szCs w:val="24"/>
        </w:rPr>
        <w:t xml:space="preserve">Zhotovitel souhlasí se zveřejněním všech náležitostí smluvního vztahu založeného touto smlouvou. </w:t>
      </w:r>
    </w:p>
    <w:p w14:paraId="500C9937" w14:textId="77777777" w:rsidR="00A05A90" w:rsidRPr="00172D02" w:rsidRDefault="00A05A90" w:rsidP="00A05A90">
      <w:pPr>
        <w:pStyle w:val="Odstavecseseznamem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5EB0CB" w14:textId="77777777" w:rsidR="00A05A90" w:rsidRPr="00172D02" w:rsidRDefault="00A05A90" w:rsidP="00A05A90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72D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Smluvní strany prohlašují, že tuto dohodu uzavřely svobodně a vážně, pokládají ji za určitou a srozumitelnou a na znamení souhlasu s jejím obsahem připojují své podpisy. </w:t>
      </w:r>
    </w:p>
    <w:p w14:paraId="61B11F1B" w14:textId="77777777" w:rsidR="00A05A90" w:rsidRPr="00172D02" w:rsidRDefault="00A05A90" w:rsidP="00A05A90">
      <w:pPr>
        <w:pStyle w:val="Odstavecseseznamem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41A6B74" w14:textId="77777777" w:rsidR="00172D02" w:rsidRDefault="00172D02" w:rsidP="00A05A90">
      <w:pPr>
        <w:jc w:val="both"/>
        <w:rPr>
          <w:rFonts w:eastAsia="Times New Roman"/>
          <w:sz w:val="20"/>
          <w:szCs w:val="20"/>
        </w:rPr>
      </w:pPr>
    </w:p>
    <w:p w14:paraId="2D48C7EA" w14:textId="77777777" w:rsidR="00172D02" w:rsidRDefault="00172D02" w:rsidP="00A05A90">
      <w:pPr>
        <w:jc w:val="both"/>
        <w:rPr>
          <w:rFonts w:eastAsia="Times New Roman"/>
          <w:sz w:val="20"/>
          <w:szCs w:val="20"/>
        </w:rPr>
      </w:pPr>
    </w:p>
    <w:p w14:paraId="57193D44" w14:textId="77777777" w:rsidR="00172D02" w:rsidRDefault="00172D02" w:rsidP="00A05A90">
      <w:pPr>
        <w:jc w:val="both"/>
        <w:rPr>
          <w:rFonts w:eastAsia="Times New Roman"/>
          <w:sz w:val="20"/>
          <w:szCs w:val="20"/>
        </w:rPr>
      </w:pPr>
    </w:p>
    <w:p w14:paraId="10E2F297" w14:textId="3F9D2F44" w:rsidR="00A05A90" w:rsidRPr="00172D02" w:rsidRDefault="00172D02" w:rsidP="00A05A90">
      <w:pPr>
        <w:jc w:val="both"/>
        <w:rPr>
          <w:rFonts w:eastAsia="Times New Roman"/>
        </w:rPr>
      </w:pPr>
      <w:r w:rsidRPr="00172D02">
        <w:rPr>
          <w:rFonts w:eastAsia="Times New Roman"/>
        </w:rPr>
        <w:t>V Jáchymově dne</w:t>
      </w:r>
      <w:r w:rsidRPr="00172D02">
        <w:rPr>
          <w:rFonts w:eastAsia="Times New Roman"/>
        </w:rPr>
        <w:tab/>
      </w:r>
      <w:r w:rsidRPr="00172D02">
        <w:rPr>
          <w:rFonts w:eastAsia="Times New Roman"/>
        </w:rPr>
        <w:tab/>
      </w:r>
      <w:r w:rsidRPr="00172D02">
        <w:rPr>
          <w:rFonts w:eastAsia="Times New Roman"/>
        </w:rPr>
        <w:tab/>
      </w:r>
      <w:r w:rsidRPr="00172D02">
        <w:rPr>
          <w:rFonts w:eastAsia="Times New Roman"/>
        </w:rPr>
        <w:tab/>
      </w:r>
      <w:r w:rsidRPr="00172D02">
        <w:rPr>
          <w:rFonts w:eastAsia="Times New Roman"/>
        </w:rPr>
        <w:tab/>
        <w:t>V </w:t>
      </w:r>
      <w:r w:rsidR="006B6B1A">
        <w:rPr>
          <w:rFonts w:eastAsia="Times New Roman"/>
        </w:rPr>
        <w:t xml:space="preserve">                         </w:t>
      </w:r>
      <w:r w:rsidRPr="00172D02">
        <w:rPr>
          <w:rFonts w:eastAsia="Times New Roman"/>
        </w:rPr>
        <w:t xml:space="preserve"> dne</w:t>
      </w:r>
    </w:p>
    <w:p w14:paraId="6B5B1A63" w14:textId="77777777" w:rsidR="003552C8" w:rsidRPr="00A05A90" w:rsidRDefault="003552C8" w:rsidP="003552C8">
      <w:pPr>
        <w:pStyle w:val="Odstavecseseznamem"/>
        <w:jc w:val="both"/>
        <w:rPr>
          <w:rFonts w:ascii="Times New Roman" w:hAnsi="Times New Roman" w:cs="Times New Roman"/>
          <w:sz w:val="20"/>
          <w:szCs w:val="20"/>
        </w:rPr>
      </w:pPr>
    </w:p>
    <w:p w14:paraId="79B47564" w14:textId="77777777" w:rsidR="006E400A" w:rsidRPr="00A05A90" w:rsidRDefault="006E400A" w:rsidP="003552C8">
      <w:pPr>
        <w:ind w:left="360"/>
        <w:jc w:val="both"/>
        <w:rPr>
          <w:rFonts w:eastAsia="Times New Roman"/>
          <w:sz w:val="20"/>
          <w:szCs w:val="20"/>
        </w:rPr>
      </w:pPr>
    </w:p>
    <w:p w14:paraId="15B6046B" w14:textId="162BECD1" w:rsidR="00172D02" w:rsidRPr="00172D02" w:rsidRDefault="00172D02" w:rsidP="00172D02">
      <w:pPr>
        <w:spacing w:after="75"/>
        <w:rPr>
          <w:rFonts w:eastAsia="Times New Roman"/>
        </w:rPr>
      </w:pPr>
      <w:r w:rsidRPr="00172D02">
        <w:rPr>
          <w:rFonts w:eastAsia="Times New Roman"/>
        </w:rPr>
        <w:t>..........................................................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172D02">
        <w:rPr>
          <w:rFonts w:eastAsia="Times New Roman"/>
        </w:rPr>
        <w:t>..........................................................</w:t>
      </w:r>
      <w:r w:rsidRPr="00172D02">
        <w:rPr>
          <w:rFonts w:eastAsia="Times New Roman"/>
        </w:rPr>
        <w:br/>
        <w:t xml:space="preserve">Ing. Marek </w:t>
      </w:r>
      <w:proofErr w:type="gramStart"/>
      <w:r w:rsidRPr="00172D02">
        <w:rPr>
          <w:rFonts w:eastAsia="Times New Roman"/>
        </w:rPr>
        <w:t>Pencák</w:t>
      </w:r>
      <w:r w:rsidR="002E4E45">
        <w:rPr>
          <w:rFonts w:eastAsia="Times New Roman"/>
        </w:rPr>
        <w:t xml:space="preserve"> - jednatel</w:t>
      </w:r>
      <w:proofErr w:type="gram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02D428A2" w14:textId="2E28DD20" w:rsidR="00172D02" w:rsidRPr="00172D02" w:rsidRDefault="00172D02" w:rsidP="00172D02">
      <w:pPr>
        <w:spacing w:after="75"/>
        <w:rPr>
          <w:rFonts w:eastAsia="Times New Roman"/>
        </w:rPr>
      </w:pPr>
      <w:r w:rsidRPr="00172D02">
        <w:rPr>
          <w:rFonts w:eastAsia="Times New Roman"/>
        </w:rPr>
        <w:t>Lesy Jáchymov s.r.o.</w:t>
      </w:r>
      <w:r w:rsidR="00403B67">
        <w:rPr>
          <w:rFonts w:eastAsia="Times New Roman"/>
        </w:rPr>
        <w:tab/>
      </w:r>
      <w:r w:rsidR="00403B67">
        <w:rPr>
          <w:rFonts w:eastAsia="Times New Roman"/>
        </w:rPr>
        <w:tab/>
      </w:r>
      <w:r w:rsidR="00403B67">
        <w:rPr>
          <w:rFonts w:eastAsia="Times New Roman"/>
        </w:rPr>
        <w:tab/>
      </w:r>
      <w:r w:rsidR="00403B67">
        <w:rPr>
          <w:rFonts w:eastAsia="Times New Roman"/>
        </w:rPr>
        <w:tab/>
      </w:r>
      <w:r w:rsidR="00403B67">
        <w:rPr>
          <w:rFonts w:eastAsia="Times New Roman"/>
        </w:rPr>
        <w:tab/>
      </w:r>
      <w:r w:rsidR="00403B67">
        <w:rPr>
          <w:rFonts w:eastAsia="Times New Roman"/>
        </w:rPr>
        <w:tab/>
      </w:r>
    </w:p>
    <w:p w14:paraId="18CD67A9" w14:textId="281722BE" w:rsidR="006832FA" w:rsidRPr="00A05A90" w:rsidRDefault="00172D02" w:rsidP="00172D02">
      <w:pPr>
        <w:spacing w:after="240"/>
        <w:rPr>
          <w:rFonts w:eastAsia="Times New Roman"/>
          <w:sz w:val="20"/>
          <w:szCs w:val="20"/>
        </w:rPr>
      </w:pPr>
      <w:r w:rsidRPr="00172D02">
        <w:rPr>
          <w:rFonts w:eastAsia="Times New Roman"/>
        </w:rPr>
        <w:br/>
      </w:r>
      <w:r w:rsidR="003E7943" w:rsidRPr="00A05A90">
        <w:rPr>
          <w:rFonts w:eastAsia="Times New Roman"/>
          <w:sz w:val="20"/>
          <w:szCs w:val="20"/>
        </w:rPr>
        <w:br/>
      </w:r>
    </w:p>
    <w:p w14:paraId="3ED850A3" w14:textId="77777777" w:rsidR="006832FA" w:rsidRPr="00A05A90" w:rsidRDefault="003E7943">
      <w:pPr>
        <w:pageBreakBefore/>
        <w:rPr>
          <w:rFonts w:eastAsia="Times New Roman"/>
          <w:sz w:val="20"/>
          <w:szCs w:val="20"/>
        </w:rPr>
      </w:pPr>
      <w:r w:rsidRPr="00A05A90">
        <w:rPr>
          <w:rFonts w:eastAsia="Times New Roman"/>
          <w:sz w:val="20"/>
          <w:szCs w:val="20"/>
        </w:rPr>
        <w:lastRenderedPageBreak/>
        <w:t> </w:t>
      </w:r>
    </w:p>
    <w:p w14:paraId="0B9A4A05" w14:textId="3298332A" w:rsidR="006832FA" w:rsidRDefault="003E7943">
      <w:pPr>
        <w:pStyle w:val="Normlnweb"/>
        <w:rPr>
          <w:sz w:val="20"/>
          <w:szCs w:val="20"/>
        </w:rPr>
      </w:pPr>
      <w:r w:rsidRPr="00A05A90">
        <w:rPr>
          <w:sz w:val="20"/>
          <w:szCs w:val="20"/>
        </w:rPr>
        <w:t xml:space="preserve">Příloha č. 1. ke Smlouvě o provedení těžebních činností </w:t>
      </w:r>
      <w:r w:rsidR="00403B67">
        <w:rPr>
          <w:sz w:val="20"/>
          <w:szCs w:val="20"/>
        </w:rPr>
        <w:t>harvestorovou technologií</w:t>
      </w:r>
      <w:r w:rsidRPr="00A05A90">
        <w:rPr>
          <w:sz w:val="20"/>
          <w:szCs w:val="20"/>
        </w:rPr>
        <w:t xml:space="preserve"> </w:t>
      </w:r>
      <w:r w:rsidR="00D76BA8">
        <w:rPr>
          <w:sz w:val="20"/>
          <w:szCs w:val="20"/>
        </w:rPr>
        <w:t>v kombinaci s trakčním navijákem</w:t>
      </w:r>
    </w:p>
    <w:p w14:paraId="4C1F40B5" w14:textId="6DC3A557" w:rsidR="00002AF0" w:rsidRDefault="00002AF0">
      <w:pPr>
        <w:pStyle w:val="Normlnweb"/>
        <w:rPr>
          <w:sz w:val="20"/>
          <w:szCs w:val="20"/>
        </w:rPr>
      </w:pPr>
    </w:p>
    <w:p w14:paraId="3EF50549" w14:textId="70B7EE3D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144265B7" w14:textId="16B18BE0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0D54B24F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64637405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3E75687B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68084EAA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2B8B5819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1E8686A7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53F5E4DB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522BCCBA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14F21113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17C37D4A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3C7DBFB2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28BF7256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246E964B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2B097580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450E7F0F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57DF520A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1F2FCAD1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00BB86D9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304AF303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72A5D490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3218A30D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4054CCB5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36AD1277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21E6E10C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081BEA81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460F837C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077C993B" w14:textId="7EC2423C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26BB7CAD" w14:textId="77777777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0DC6C520" w14:textId="77777777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177C5EF5" w14:textId="77777777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35115969" w14:textId="04921BBA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103237D0" w14:textId="77777777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507C7F2A" w14:textId="274CBBF1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28361407" w14:textId="282A5E96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678925AC" w14:textId="77777777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5D1C4994" w14:textId="77777777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1E4CA49F" w14:textId="5DD7F7D6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1FC537E7" w14:textId="77777777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17357FD0" w14:textId="77777777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77407B44" w14:textId="6A202D81" w:rsidR="00002AF0" w:rsidRDefault="00493CCA">
      <w:pPr>
        <w:pStyle w:val="Normlnweb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Ing. Marek Pencák – jednatel Lesy Jáchymov s.r.o.:</w:t>
      </w:r>
    </w:p>
    <w:p w14:paraId="51608A3B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4968E78F" w14:textId="77777777" w:rsidR="00493CCA" w:rsidRDefault="00493CCA">
      <w:pPr>
        <w:pStyle w:val="Normlnweb"/>
        <w:rPr>
          <w:rFonts w:eastAsia="Times New Roman"/>
          <w:noProof/>
          <w:sz w:val="20"/>
          <w:szCs w:val="20"/>
        </w:rPr>
      </w:pPr>
    </w:p>
    <w:p w14:paraId="6348AEC1" w14:textId="7FA3C927" w:rsidR="00002AF0" w:rsidRDefault="00493CCA">
      <w:pPr>
        <w:pStyle w:val="Normlnweb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Zhotovitel:</w:t>
      </w:r>
    </w:p>
    <w:p w14:paraId="1C6482D5" w14:textId="54C29163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16819DD2" w14:textId="6CD0DFF8" w:rsidR="00002AF0" w:rsidRDefault="00002AF0">
      <w:pPr>
        <w:pStyle w:val="Normlnweb"/>
        <w:rPr>
          <w:rFonts w:eastAsia="Times New Roman"/>
          <w:noProof/>
          <w:sz w:val="20"/>
          <w:szCs w:val="20"/>
        </w:rPr>
      </w:pPr>
    </w:p>
    <w:p w14:paraId="7F96204F" w14:textId="59F72C99" w:rsidR="00002AF0" w:rsidRDefault="00002AF0">
      <w:pPr>
        <w:pStyle w:val="Normlnweb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Příloha č. </w:t>
      </w:r>
      <w:proofErr w:type="gramStart"/>
      <w:r>
        <w:rPr>
          <w:sz w:val="20"/>
          <w:szCs w:val="20"/>
        </w:rPr>
        <w:t xml:space="preserve">2  </w:t>
      </w:r>
      <w:r w:rsidRPr="00A05A90">
        <w:rPr>
          <w:sz w:val="20"/>
          <w:szCs w:val="20"/>
        </w:rPr>
        <w:t>ke</w:t>
      </w:r>
      <w:proofErr w:type="gramEnd"/>
      <w:r w:rsidRPr="00A05A90">
        <w:rPr>
          <w:sz w:val="20"/>
          <w:szCs w:val="20"/>
        </w:rPr>
        <w:t xml:space="preserve"> Smlouvě o provedení těžebních činností bez </w:t>
      </w:r>
      <w:proofErr w:type="spellStart"/>
      <w:r w:rsidRPr="00A05A90">
        <w:rPr>
          <w:sz w:val="20"/>
          <w:szCs w:val="20"/>
        </w:rPr>
        <w:t>harvestorové</w:t>
      </w:r>
      <w:proofErr w:type="spellEnd"/>
      <w:r w:rsidRPr="00A05A90">
        <w:rPr>
          <w:sz w:val="20"/>
          <w:szCs w:val="20"/>
        </w:rPr>
        <w:t xml:space="preserve"> technologie</w:t>
      </w:r>
      <w:r w:rsidR="00D76BA8">
        <w:rPr>
          <w:sz w:val="20"/>
          <w:szCs w:val="20"/>
        </w:rPr>
        <w:t xml:space="preserve"> v kombinaci s trakčním navijákem</w:t>
      </w:r>
    </w:p>
    <w:p w14:paraId="03CC0103" w14:textId="77777777" w:rsidR="00002AF0" w:rsidRDefault="00002AF0">
      <w:pPr>
        <w:pStyle w:val="Normlnweb"/>
        <w:rPr>
          <w:sz w:val="20"/>
          <w:szCs w:val="20"/>
        </w:rPr>
      </w:pPr>
    </w:p>
    <w:p w14:paraId="3ADD44C4" w14:textId="77777777" w:rsidR="00D76BA8" w:rsidRDefault="00D76BA8">
      <w:pPr>
        <w:pStyle w:val="Normlnweb"/>
        <w:rPr>
          <w:sz w:val="20"/>
          <w:szCs w:val="20"/>
        </w:rPr>
      </w:pPr>
    </w:p>
    <w:p w14:paraId="0D538A77" w14:textId="77777777" w:rsidR="00D76BA8" w:rsidRDefault="00D76BA8">
      <w:pPr>
        <w:pStyle w:val="Normlnweb"/>
        <w:rPr>
          <w:sz w:val="20"/>
          <w:szCs w:val="20"/>
        </w:rPr>
      </w:pPr>
    </w:p>
    <w:p w14:paraId="15F17E8D" w14:textId="77777777" w:rsidR="00D76BA8" w:rsidRDefault="00D76BA8">
      <w:pPr>
        <w:pStyle w:val="Normlnweb"/>
        <w:rPr>
          <w:sz w:val="20"/>
          <w:szCs w:val="20"/>
        </w:rPr>
      </w:pPr>
    </w:p>
    <w:p w14:paraId="7963B5AD" w14:textId="75D7B5C6" w:rsidR="00002AF0" w:rsidRDefault="00002AF0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>Přepočtové koeficienty z </w:t>
      </w:r>
      <w:proofErr w:type="spellStart"/>
      <w:r>
        <w:rPr>
          <w:sz w:val="20"/>
          <w:szCs w:val="20"/>
        </w:rPr>
        <w:t>prm</w:t>
      </w:r>
      <w:proofErr w:type="spellEnd"/>
      <w:r>
        <w:rPr>
          <w:sz w:val="20"/>
          <w:szCs w:val="20"/>
        </w:rPr>
        <w:t xml:space="preserve"> na m</w:t>
      </w:r>
      <w:r w:rsidRPr="00002AF0">
        <w:rPr>
          <w:sz w:val="20"/>
          <w:szCs w:val="20"/>
          <w:vertAlign w:val="superscript"/>
        </w:rPr>
        <w:t>3</w:t>
      </w:r>
    </w:p>
    <w:p w14:paraId="3B852BAE" w14:textId="45E0839A" w:rsidR="00002AF0" w:rsidRDefault="00002AF0">
      <w:pPr>
        <w:pStyle w:val="Normlnweb"/>
        <w:rPr>
          <w:sz w:val="20"/>
          <w:szCs w:val="20"/>
        </w:rPr>
      </w:pPr>
    </w:p>
    <w:p w14:paraId="1D66CDB9" w14:textId="77777777" w:rsidR="00002AF0" w:rsidRDefault="00002AF0">
      <w:pPr>
        <w:pStyle w:val="Normlnweb"/>
        <w:rPr>
          <w:sz w:val="20"/>
          <w:szCs w:val="20"/>
        </w:rPr>
      </w:pPr>
    </w:p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6"/>
        <w:gridCol w:w="2534"/>
        <w:gridCol w:w="2481"/>
      </w:tblGrid>
      <w:tr w:rsidR="00486EDF" w:rsidRPr="00486EDF" w14:paraId="2182708D" w14:textId="77777777" w:rsidTr="00486EDF">
        <w:trPr>
          <w:trHeight w:val="420"/>
          <w:jc w:val="center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C59A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  <w:t xml:space="preserve">Přepočtové koeficienty z </w:t>
            </w:r>
            <w:proofErr w:type="spellStart"/>
            <w:r w:rsidRPr="00486EDF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  <w:t>prm</w:t>
            </w:r>
            <w:proofErr w:type="spellEnd"/>
            <w:r w:rsidRPr="00486EDF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  <w:t xml:space="preserve"> na m</w:t>
            </w:r>
            <w:r w:rsidRPr="00486EDF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vertAlign w:val="superscript"/>
              </w:rPr>
              <w:t>3</w:t>
            </w:r>
          </w:p>
        </w:tc>
      </w:tr>
      <w:tr w:rsidR="00486EDF" w:rsidRPr="00486EDF" w14:paraId="2720D7B0" w14:textId="77777777" w:rsidTr="00486EDF">
        <w:trPr>
          <w:trHeight w:val="315"/>
          <w:jc w:val="center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8F44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E677" w14:textId="77777777" w:rsidR="00486EDF" w:rsidRPr="00486EDF" w:rsidRDefault="00486EDF" w:rsidP="00486ED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3700" w14:textId="77777777" w:rsidR="00486EDF" w:rsidRPr="00486EDF" w:rsidRDefault="00486EDF" w:rsidP="00486ED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EDF" w:rsidRPr="00486EDF" w14:paraId="3EA24381" w14:textId="77777777" w:rsidTr="00486EDF">
        <w:trPr>
          <w:trHeight w:val="480"/>
          <w:jc w:val="center"/>
        </w:trPr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1FF48DD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Dřevina</w:t>
            </w:r>
          </w:p>
        </w:tc>
        <w:tc>
          <w:tcPr>
            <w:tcW w:w="50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9B1C88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Délka sortimentu</w:t>
            </w:r>
          </w:p>
        </w:tc>
      </w:tr>
      <w:tr w:rsidR="00486EDF" w:rsidRPr="00486EDF" w14:paraId="3023A71F" w14:textId="77777777" w:rsidTr="00486EDF">
        <w:trPr>
          <w:trHeight w:val="480"/>
          <w:jc w:val="center"/>
        </w:trPr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048B3F" w14:textId="77777777" w:rsidR="00486EDF" w:rsidRPr="00486EDF" w:rsidRDefault="00486EDF" w:rsidP="00486ED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5ED27E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 2,5 m včetně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E071C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nad 2,5 m</w:t>
            </w:r>
          </w:p>
        </w:tc>
      </w:tr>
      <w:tr w:rsidR="00486EDF" w:rsidRPr="00486EDF" w14:paraId="7A19AD7A" w14:textId="77777777" w:rsidTr="00486EDF">
        <w:trPr>
          <w:trHeight w:val="480"/>
          <w:jc w:val="center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CF23F4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Smrk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A343B9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569E240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0,62</w:t>
            </w:r>
          </w:p>
        </w:tc>
      </w:tr>
      <w:tr w:rsidR="00486EDF" w:rsidRPr="00486EDF" w14:paraId="03C64E25" w14:textId="77777777" w:rsidTr="00486EDF">
        <w:trPr>
          <w:trHeight w:val="480"/>
          <w:jc w:val="center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127D1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Jedle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015891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2BAF6BC6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0,62</w:t>
            </w:r>
          </w:p>
        </w:tc>
      </w:tr>
      <w:tr w:rsidR="00486EDF" w:rsidRPr="00486EDF" w14:paraId="637D4C27" w14:textId="77777777" w:rsidTr="00486EDF">
        <w:trPr>
          <w:trHeight w:val="480"/>
          <w:jc w:val="center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B09DCB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Borovice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7A26DB8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D57FC77" w14:textId="5CCB0D1A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6EDF" w:rsidRPr="00486EDF" w14:paraId="4221E6BA" w14:textId="77777777" w:rsidTr="00486EDF">
        <w:trPr>
          <w:trHeight w:val="480"/>
          <w:jc w:val="center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DF55CC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Modřín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EB66F4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03D94B14" w14:textId="74C28B3D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86EDF" w:rsidRPr="00486EDF" w14:paraId="5EB27192" w14:textId="77777777" w:rsidTr="00486EDF">
        <w:trPr>
          <w:trHeight w:val="480"/>
          <w:jc w:val="center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9D4AB5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Listnaté tvrdé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47D321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687B5681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0,56</w:t>
            </w:r>
          </w:p>
        </w:tc>
      </w:tr>
      <w:tr w:rsidR="00486EDF" w:rsidRPr="00486EDF" w14:paraId="3917E861" w14:textId="77777777" w:rsidTr="00486EDF">
        <w:trPr>
          <w:trHeight w:val="480"/>
          <w:jc w:val="center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BDEA7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Listnaté měkké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59AD19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73525871" w14:textId="77777777" w:rsidR="00486EDF" w:rsidRPr="00486EDF" w:rsidRDefault="00486EDF" w:rsidP="00486ED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86ED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0,56</w:t>
            </w:r>
          </w:p>
        </w:tc>
      </w:tr>
    </w:tbl>
    <w:p w14:paraId="62946A89" w14:textId="77777777" w:rsidR="00002AF0" w:rsidRDefault="00002AF0">
      <w:pPr>
        <w:pStyle w:val="Normlnweb"/>
        <w:rPr>
          <w:sz w:val="20"/>
          <w:szCs w:val="20"/>
        </w:rPr>
      </w:pPr>
    </w:p>
    <w:p w14:paraId="7E41F1FD" w14:textId="335F7100" w:rsidR="00002AF0" w:rsidRDefault="00002AF0">
      <w:pPr>
        <w:pStyle w:val="Normlnweb"/>
        <w:rPr>
          <w:sz w:val="20"/>
          <w:szCs w:val="20"/>
        </w:rPr>
      </w:pPr>
    </w:p>
    <w:p w14:paraId="2B166440" w14:textId="77777777" w:rsidR="00002AF0" w:rsidRPr="00A05A90" w:rsidRDefault="00002AF0">
      <w:pPr>
        <w:pStyle w:val="Normlnweb"/>
        <w:rPr>
          <w:sz w:val="20"/>
          <w:szCs w:val="20"/>
        </w:rPr>
      </w:pPr>
    </w:p>
    <w:p w14:paraId="730708A6" w14:textId="77777777" w:rsidR="00493CCA" w:rsidRDefault="00493CCA" w:rsidP="00493CCA">
      <w:pPr>
        <w:pStyle w:val="Normlnweb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Ing. Marek Pencák – jednatel Lesy Jáchymov s.r.o.:</w:t>
      </w:r>
    </w:p>
    <w:p w14:paraId="35430FD7" w14:textId="77777777" w:rsidR="00493CCA" w:rsidRDefault="00493CCA" w:rsidP="00493CCA">
      <w:pPr>
        <w:pStyle w:val="Normlnweb"/>
        <w:rPr>
          <w:rFonts w:eastAsia="Times New Roman"/>
          <w:noProof/>
          <w:sz w:val="20"/>
          <w:szCs w:val="20"/>
        </w:rPr>
      </w:pPr>
    </w:p>
    <w:p w14:paraId="2DDEBFF6" w14:textId="77777777" w:rsidR="00493CCA" w:rsidRDefault="00493CCA" w:rsidP="00493CCA">
      <w:pPr>
        <w:pStyle w:val="Normlnweb"/>
        <w:rPr>
          <w:rFonts w:eastAsia="Times New Roman"/>
          <w:noProof/>
          <w:sz w:val="20"/>
          <w:szCs w:val="20"/>
        </w:rPr>
      </w:pPr>
    </w:p>
    <w:p w14:paraId="6FE3B77F" w14:textId="557709CC" w:rsidR="00493CCA" w:rsidRDefault="00493CCA" w:rsidP="00493CCA">
      <w:pPr>
        <w:pStyle w:val="Normlnweb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Zhotovitel:</w:t>
      </w:r>
    </w:p>
    <w:p w14:paraId="485AAC9D" w14:textId="3994AD57" w:rsidR="006832FA" w:rsidRPr="00A05A90" w:rsidRDefault="006832FA">
      <w:pPr>
        <w:spacing w:after="240"/>
        <w:rPr>
          <w:rFonts w:eastAsia="Times New Roman"/>
          <w:sz w:val="20"/>
          <w:szCs w:val="20"/>
        </w:rPr>
      </w:pPr>
    </w:p>
    <w:sectPr w:rsidR="006832FA" w:rsidRPr="00A05A90">
      <w:headerReference w:type="default" r:id="rId7"/>
      <w:footerReference w:type="default" r:id="rId8"/>
      <w:pgSz w:w="11907" w:h="16840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CDD6" w14:textId="77777777" w:rsidR="00EC0D1B" w:rsidRDefault="00EC0D1B">
      <w:r>
        <w:separator/>
      </w:r>
    </w:p>
  </w:endnote>
  <w:endnote w:type="continuationSeparator" w:id="0">
    <w:p w14:paraId="21294C1C" w14:textId="77777777" w:rsidR="00EC0D1B" w:rsidRDefault="00EC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B248" w14:textId="77777777" w:rsidR="006832FA" w:rsidRDefault="003E7943">
    <w:pPr>
      <w:pStyle w:val="Normlnweb"/>
      <w:jc w:val="right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Strana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3E2FDD">
      <w:rPr>
        <w:rFonts w:ascii="Arial" w:hAnsi="Arial" w:cs="Arial"/>
        <w:noProof/>
        <w:sz w:val="17"/>
        <w:szCs w:val="17"/>
      </w:rPr>
      <w:t>2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(celkem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3E2FDD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F576" w14:textId="77777777" w:rsidR="00EC0D1B" w:rsidRDefault="00EC0D1B">
      <w:r>
        <w:separator/>
      </w:r>
    </w:p>
  </w:footnote>
  <w:footnote w:type="continuationSeparator" w:id="0">
    <w:p w14:paraId="76273D43" w14:textId="77777777" w:rsidR="00EC0D1B" w:rsidRDefault="00EC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74AE" w14:textId="77777777" w:rsidR="006832FA" w:rsidRDefault="003E7943">
    <w:pPr>
      <w:rPr>
        <w:rFonts w:ascii="Arial" w:hAnsi="Arial" w:cs="Arial"/>
      </w:rPr>
    </w:pPr>
    <w:r>
      <w:rPr>
        <w:rFonts w:ascii="Arial" w:hAnsi="Arial" w:cs="Arial"/>
      </w:rPr>
      <w:t> </w:t>
    </w:r>
    <w:r>
      <w:rPr>
        <w:rFonts w:ascii="Arial" w:hAnsi="Arial" w:cs="Arial"/>
      </w:rPr>
      <w:br/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59C"/>
    <w:multiLevelType w:val="hybridMultilevel"/>
    <w:tmpl w:val="B7CCB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6C4A"/>
    <w:multiLevelType w:val="multilevel"/>
    <w:tmpl w:val="3708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B55DD"/>
    <w:multiLevelType w:val="hybridMultilevel"/>
    <w:tmpl w:val="D182EFCE"/>
    <w:lvl w:ilvl="0" w:tplc="4AEA4740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20760"/>
    <w:multiLevelType w:val="hybridMultilevel"/>
    <w:tmpl w:val="406CD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5E17"/>
    <w:multiLevelType w:val="multilevel"/>
    <w:tmpl w:val="A848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623F8"/>
    <w:multiLevelType w:val="hybridMultilevel"/>
    <w:tmpl w:val="441C4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B3087"/>
    <w:multiLevelType w:val="multilevel"/>
    <w:tmpl w:val="C40A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F7A26"/>
    <w:multiLevelType w:val="multilevel"/>
    <w:tmpl w:val="A3CC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965FBC"/>
    <w:multiLevelType w:val="hybridMultilevel"/>
    <w:tmpl w:val="BFD007BE"/>
    <w:lvl w:ilvl="0" w:tplc="535077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1B5DB7"/>
    <w:multiLevelType w:val="multilevel"/>
    <w:tmpl w:val="24C6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24379"/>
    <w:multiLevelType w:val="hybridMultilevel"/>
    <w:tmpl w:val="90CC4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103A1"/>
    <w:multiLevelType w:val="hybridMultilevel"/>
    <w:tmpl w:val="1E80720E"/>
    <w:lvl w:ilvl="0" w:tplc="64B0167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28476F"/>
    <w:multiLevelType w:val="multilevel"/>
    <w:tmpl w:val="8C78433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5CA163C9"/>
    <w:multiLevelType w:val="hybridMultilevel"/>
    <w:tmpl w:val="04BAB22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B2E153C"/>
    <w:multiLevelType w:val="hybridMultilevel"/>
    <w:tmpl w:val="9A94CE34"/>
    <w:lvl w:ilvl="0" w:tplc="D2F0E6CA">
      <w:start w:val="1"/>
      <w:numFmt w:val="lowerLetter"/>
      <w:lvlText w:val="%1."/>
      <w:lvlJc w:val="left"/>
      <w:pPr>
        <w:ind w:left="2067" w:hanging="360"/>
      </w:pPr>
    </w:lvl>
    <w:lvl w:ilvl="1" w:tplc="04050019">
      <w:start w:val="1"/>
      <w:numFmt w:val="lowerLetter"/>
      <w:lvlText w:val="%2."/>
      <w:lvlJc w:val="left"/>
      <w:pPr>
        <w:ind w:left="2787" w:hanging="360"/>
      </w:pPr>
    </w:lvl>
    <w:lvl w:ilvl="2" w:tplc="0405001B">
      <w:start w:val="1"/>
      <w:numFmt w:val="lowerRoman"/>
      <w:lvlText w:val="%3."/>
      <w:lvlJc w:val="right"/>
      <w:pPr>
        <w:ind w:left="3507" w:hanging="180"/>
      </w:pPr>
    </w:lvl>
    <w:lvl w:ilvl="3" w:tplc="0405000F">
      <w:start w:val="1"/>
      <w:numFmt w:val="decimal"/>
      <w:lvlText w:val="%4."/>
      <w:lvlJc w:val="left"/>
      <w:pPr>
        <w:ind w:left="4227" w:hanging="360"/>
      </w:pPr>
    </w:lvl>
    <w:lvl w:ilvl="4" w:tplc="04050019">
      <w:start w:val="1"/>
      <w:numFmt w:val="lowerLetter"/>
      <w:lvlText w:val="%5."/>
      <w:lvlJc w:val="left"/>
      <w:pPr>
        <w:ind w:left="4947" w:hanging="360"/>
      </w:pPr>
    </w:lvl>
    <w:lvl w:ilvl="5" w:tplc="0405001B">
      <w:start w:val="1"/>
      <w:numFmt w:val="lowerRoman"/>
      <w:lvlText w:val="%6."/>
      <w:lvlJc w:val="right"/>
      <w:pPr>
        <w:ind w:left="5667" w:hanging="180"/>
      </w:pPr>
    </w:lvl>
    <w:lvl w:ilvl="6" w:tplc="0405000F">
      <w:start w:val="1"/>
      <w:numFmt w:val="decimal"/>
      <w:lvlText w:val="%7."/>
      <w:lvlJc w:val="left"/>
      <w:pPr>
        <w:ind w:left="6387" w:hanging="360"/>
      </w:pPr>
    </w:lvl>
    <w:lvl w:ilvl="7" w:tplc="04050019">
      <w:start w:val="1"/>
      <w:numFmt w:val="lowerLetter"/>
      <w:lvlText w:val="%8."/>
      <w:lvlJc w:val="left"/>
      <w:pPr>
        <w:ind w:left="7107" w:hanging="360"/>
      </w:pPr>
    </w:lvl>
    <w:lvl w:ilvl="8" w:tplc="0405001B">
      <w:start w:val="1"/>
      <w:numFmt w:val="lowerRoman"/>
      <w:lvlText w:val="%9."/>
      <w:lvlJc w:val="right"/>
      <w:pPr>
        <w:ind w:left="7827" w:hanging="180"/>
      </w:pPr>
    </w:lvl>
  </w:abstractNum>
  <w:abstractNum w:abstractNumId="15" w15:restartNumberingAfterBreak="0">
    <w:nsid w:val="7A1B22DD"/>
    <w:multiLevelType w:val="hybridMultilevel"/>
    <w:tmpl w:val="51A6D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36FBA"/>
    <w:multiLevelType w:val="hybridMultilevel"/>
    <w:tmpl w:val="ECDC600E"/>
    <w:lvl w:ilvl="0" w:tplc="279CD37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0E41EE"/>
    <w:multiLevelType w:val="hybridMultilevel"/>
    <w:tmpl w:val="5F56F462"/>
    <w:lvl w:ilvl="0" w:tplc="5EA09A4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32588902">
    <w:abstractNumId w:val="1"/>
  </w:num>
  <w:num w:numId="2" w16cid:durableId="2121795635">
    <w:abstractNumId w:val="4"/>
  </w:num>
  <w:num w:numId="3" w16cid:durableId="155532269">
    <w:abstractNumId w:val="6"/>
  </w:num>
  <w:num w:numId="4" w16cid:durableId="592512595">
    <w:abstractNumId w:val="9"/>
  </w:num>
  <w:num w:numId="5" w16cid:durableId="515388698">
    <w:abstractNumId w:val="7"/>
  </w:num>
  <w:num w:numId="6" w16cid:durableId="1358309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616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5462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41086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6133759">
    <w:abstractNumId w:val="12"/>
  </w:num>
  <w:num w:numId="11" w16cid:durableId="192001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68059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6369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4064227">
    <w:abstractNumId w:val="16"/>
  </w:num>
  <w:num w:numId="15" w16cid:durableId="153379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746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8397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4716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6125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43"/>
    <w:rsid w:val="00001331"/>
    <w:rsid w:val="00002AF0"/>
    <w:rsid w:val="000B1BA4"/>
    <w:rsid w:val="000C4AA0"/>
    <w:rsid w:val="00160506"/>
    <w:rsid w:val="00172D02"/>
    <w:rsid w:val="00187D94"/>
    <w:rsid w:val="002E4E45"/>
    <w:rsid w:val="00331B67"/>
    <w:rsid w:val="003552C8"/>
    <w:rsid w:val="003E2FDD"/>
    <w:rsid w:val="003E7943"/>
    <w:rsid w:val="00403B67"/>
    <w:rsid w:val="00486EDF"/>
    <w:rsid w:val="00493CCA"/>
    <w:rsid w:val="004B691E"/>
    <w:rsid w:val="004F18CE"/>
    <w:rsid w:val="006832FA"/>
    <w:rsid w:val="006940F3"/>
    <w:rsid w:val="006B0461"/>
    <w:rsid w:val="006B6B1A"/>
    <w:rsid w:val="006E400A"/>
    <w:rsid w:val="006E413E"/>
    <w:rsid w:val="00750066"/>
    <w:rsid w:val="0076005D"/>
    <w:rsid w:val="007F2025"/>
    <w:rsid w:val="008D2FBA"/>
    <w:rsid w:val="008F2E9D"/>
    <w:rsid w:val="00982565"/>
    <w:rsid w:val="00A05A90"/>
    <w:rsid w:val="00AA78C7"/>
    <w:rsid w:val="00AC5504"/>
    <w:rsid w:val="00AD7032"/>
    <w:rsid w:val="00B03639"/>
    <w:rsid w:val="00BB2685"/>
    <w:rsid w:val="00C36F9D"/>
    <w:rsid w:val="00CA42D8"/>
    <w:rsid w:val="00CA561A"/>
    <w:rsid w:val="00CF34B9"/>
    <w:rsid w:val="00D76BA8"/>
    <w:rsid w:val="00D95EE0"/>
    <w:rsid w:val="00DC6ED8"/>
    <w:rsid w:val="00DD7661"/>
    <w:rsid w:val="00DF5852"/>
    <w:rsid w:val="00E071C9"/>
    <w:rsid w:val="00E25C89"/>
    <w:rsid w:val="00E722DA"/>
    <w:rsid w:val="00EC0D1B"/>
    <w:rsid w:val="00F012B4"/>
    <w:rsid w:val="00F11DCC"/>
    <w:rsid w:val="00F47D2D"/>
    <w:rsid w:val="00FA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2D462"/>
  <w15:chartTrackingRefBased/>
  <w15:docId w15:val="{E61DCEF2-2E60-4041-969D-FD6259FD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ln"/>
    <w:pPr>
      <w:spacing w:before="60" w:after="60"/>
      <w:ind w:left="60" w:right="60"/>
    </w:pPr>
  </w:style>
  <w:style w:type="paragraph" w:styleId="Normlnweb">
    <w:name w:val="Normal (Web)"/>
    <w:basedOn w:val="Normln"/>
    <w:uiPriority w:val="99"/>
    <w:unhideWhenUsed/>
    <w:pPr>
      <w:spacing w:before="60" w:after="60"/>
      <w:ind w:left="60" w:right="60"/>
    </w:pPr>
  </w:style>
  <w:style w:type="paragraph" w:styleId="Zhlav">
    <w:name w:val="header"/>
    <w:basedOn w:val="Normln"/>
    <w:link w:val="ZhlavChar"/>
    <w:uiPriority w:val="99"/>
    <w:unhideWhenUsed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60" w:after="60"/>
      <w:ind w:left="60" w:right="6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60" w:after="60"/>
      <w:ind w:left="60" w:right="6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border-around">
    <w:name w:val="border-around"/>
    <w:basedOn w:val="Norml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75" w:after="75"/>
    </w:pPr>
  </w:style>
  <w:style w:type="paragraph" w:customStyle="1" w:styleId="sign">
    <w:name w:val="sign"/>
    <w:basedOn w:val="Normln"/>
    <w:pPr>
      <w:pBdr>
        <w:top w:val="single" w:sz="6" w:space="8" w:color="000000"/>
      </w:pBdr>
      <w:spacing w:before="60" w:after="60"/>
      <w:ind w:left="60" w:right="60"/>
      <w:jc w:val="center"/>
    </w:pPr>
  </w:style>
  <w:style w:type="paragraph" w:customStyle="1" w:styleId="forsign">
    <w:name w:val="forsign"/>
    <w:basedOn w:val="Normln"/>
    <w:pPr>
      <w:spacing w:before="60" w:after="60" w:line="960" w:lineRule="atLeast"/>
      <w:ind w:left="60" w:right="60"/>
    </w:pPr>
  </w:style>
  <w:style w:type="paragraph" w:customStyle="1" w:styleId="spacing">
    <w:name w:val="spacing"/>
    <w:basedOn w:val="Normln"/>
    <w:pPr>
      <w:spacing w:before="60" w:after="60"/>
      <w:ind w:left="60" w:right="60"/>
    </w:pPr>
  </w:style>
  <w:style w:type="paragraph" w:customStyle="1" w:styleId="clear">
    <w:name w:val="clear"/>
    <w:basedOn w:val="Normln"/>
    <w:pPr>
      <w:spacing w:before="60" w:after="60"/>
      <w:ind w:left="60" w:right="60"/>
    </w:pPr>
  </w:style>
  <w:style w:type="paragraph" w:customStyle="1" w:styleId="break">
    <w:name w:val="break"/>
    <w:basedOn w:val="Normln"/>
    <w:pPr>
      <w:pageBreakBefore/>
      <w:spacing w:before="60" w:after="60"/>
      <w:ind w:left="60" w:right="60"/>
    </w:pPr>
  </w:style>
  <w:style w:type="paragraph" w:customStyle="1" w:styleId="break-after">
    <w:name w:val="break-after"/>
    <w:basedOn w:val="Normln"/>
    <w:pPr>
      <w:spacing w:before="60" w:after="60"/>
      <w:ind w:left="60" w:right="60"/>
    </w:pPr>
  </w:style>
  <w:style w:type="paragraph" w:customStyle="1" w:styleId="text-top">
    <w:name w:val="text-top"/>
    <w:basedOn w:val="Normln"/>
    <w:pPr>
      <w:spacing w:before="60" w:after="60"/>
      <w:ind w:left="60" w:right="60"/>
      <w:textAlignment w:val="top"/>
    </w:pPr>
  </w:style>
  <w:style w:type="paragraph" w:customStyle="1" w:styleId="no-break">
    <w:name w:val="no-break"/>
    <w:basedOn w:val="Normln"/>
    <w:pPr>
      <w:spacing w:before="60" w:after="60"/>
      <w:ind w:left="60" w:right="60"/>
    </w:pPr>
  </w:style>
  <w:style w:type="paragraph" w:customStyle="1" w:styleId="indent-1em">
    <w:name w:val="indent-1em"/>
    <w:basedOn w:val="Normln"/>
    <w:pPr>
      <w:spacing w:before="60" w:after="60"/>
      <w:ind w:left="60" w:right="60"/>
    </w:pPr>
  </w:style>
  <w:style w:type="paragraph" w:customStyle="1" w:styleId="fsh13">
    <w:name w:val="fsh13"/>
    <w:basedOn w:val="Normln"/>
    <w:pPr>
      <w:spacing w:before="60" w:after="60" w:line="195" w:lineRule="atLeast"/>
      <w:ind w:left="60" w:right="60"/>
    </w:pPr>
    <w:rPr>
      <w:sz w:val="20"/>
      <w:szCs w:val="20"/>
    </w:rPr>
  </w:style>
  <w:style w:type="paragraph" w:customStyle="1" w:styleId="red">
    <w:name w:val="red"/>
    <w:basedOn w:val="Normln"/>
    <w:pPr>
      <w:spacing w:before="60" w:after="60"/>
      <w:ind w:left="60" w:right="60"/>
    </w:pPr>
    <w:rPr>
      <w:color w:val="FF0000"/>
    </w:rPr>
  </w:style>
  <w:style w:type="paragraph" w:customStyle="1" w:styleId="text-underline">
    <w:name w:val="text-underline"/>
    <w:basedOn w:val="Normln"/>
    <w:pPr>
      <w:spacing w:before="60" w:after="60"/>
      <w:ind w:left="60" w:right="60"/>
    </w:pPr>
    <w:rPr>
      <w:u w:val="single"/>
    </w:rPr>
  </w:style>
  <w:style w:type="paragraph" w:customStyle="1" w:styleId="tmodra">
    <w:name w:val="tmodra"/>
    <w:basedOn w:val="Normln"/>
    <w:pPr>
      <w:spacing w:before="60" w:after="60"/>
      <w:ind w:left="60" w:right="60"/>
    </w:pPr>
    <w:rPr>
      <w:color w:val="114767"/>
    </w:rPr>
  </w:style>
  <w:style w:type="paragraph" w:customStyle="1" w:styleId="hrtmodra">
    <w:name w:val="hrtmodra"/>
    <w:basedOn w:val="Normln"/>
    <w:pPr>
      <w:pBdr>
        <w:top w:val="single" w:sz="6" w:space="0" w:color="114767"/>
        <w:left w:val="single" w:sz="6" w:space="0" w:color="114767"/>
        <w:bottom w:val="single" w:sz="6" w:space="0" w:color="114767"/>
        <w:right w:val="single" w:sz="6" w:space="0" w:color="114767"/>
      </w:pBdr>
      <w:spacing w:before="60" w:after="60"/>
      <w:ind w:left="60" w:right="60"/>
    </w:pPr>
    <w:rPr>
      <w:color w:val="114767"/>
    </w:rPr>
  </w:style>
  <w:style w:type="paragraph" w:customStyle="1" w:styleId="smodra">
    <w:name w:val="smodra"/>
    <w:basedOn w:val="Normln"/>
    <w:pPr>
      <w:spacing w:before="60" w:after="60"/>
      <w:ind w:left="60" w:right="60"/>
    </w:pPr>
    <w:rPr>
      <w:color w:val="209CD3"/>
    </w:rPr>
  </w:style>
  <w:style w:type="paragraph" w:customStyle="1" w:styleId="black">
    <w:name w:val="black"/>
    <w:basedOn w:val="Normln"/>
    <w:pPr>
      <w:spacing w:before="60" w:after="60"/>
      <w:ind w:left="60" w:right="60"/>
    </w:pPr>
    <w:rPr>
      <w:color w:val="000000"/>
    </w:rPr>
  </w:style>
  <w:style w:type="paragraph" w:customStyle="1" w:styleId="zahlavism">
    <w:name w:val="zahlavism"/>
    <w:basedOn w:val="Normln"/>
    <w:pPr>
      <w:spacing w:before="60" w:after="60"/>
      <w:ind w:left="60" w:right="60"/>
    </w:pPr>
    <w:rPr>
      <w:b/>
      <w:bCs/>
      <w:color w:val="009EE0"/>
      <w:sz w:val="18"/>
      <w:szCs w:val="18"/>
    </w:rPr>
  </w:style>
  <w:style w:type="paragraph" w:customStyle="1" w:styleId="zahlavitm">
    <w:name w:val="zahlavitm"/>
    <w:basedOn w:val="Normln"/>
    <w:pPr>
      <w:spacing w:before="60" w:after="60"/>
      <w:ind w:left="60" w:right="60"/>
    </w:pPr>
    <w:rPr>
      <w:b/>
      <w:bCs/>
      <w:color w:val="114767"/>
      <w:sz w:val="18"/>
      <w:szCs w:val="18"/>
    </w:rPr>
  </w:style>
  <w:style w:type="paragraph" w:customStyle="1" w:styleId="zahlavievidenceid">
    <w:name w:val="zahlavievidenceid"/>
    <w:basedOn w:val="Normln"/>
    <w:pPr>
      <w:spacing w:before="60" w:after="60"/>
      <w:ind w:left="60" w:right="60"/>
      <w:jc w:val="right"/>
    </w:pPr>
    <w:rPr>
      <w:b/>
      <w:bCs/>
      <w:color w:val="114767"/>
      <w:sz w:val="18"/>
      <w:szCs w:val="18"/>
    </w:rPr>
  </w:style>
  <w:style w:type="paragraph" w:customStyle="1" w:styleId="zahlavistrongtal">
    <w:name w:val="zahlavistrongtal"/>
    <w:basedOn w:val="Normln"/>
    <w:pPr>
      <w:spacing w:before="60" w:after="60"/>
      <w:ind w:left="60" w:right="60"/>
    </w:pPr>
    <w:rPr>
      <w:b/>
      <w:bCs/>
      <w:color w:val="114767"/>
      <w:sz w:val="18"/>
      <w:szCs w:val="18"/>
    </w:rPr>
  </w:style>
  <w:style w:type="paragraph" w:customStyle="1" w:styleId="zahlavipriloha">
    <w:name w:val="zahlavipriloha"/>
    <w:basedOn w:val="Normln"/>
    <w:pPr>
      <w:spacing w:before="60" w:after="60"/>
      <w:ind w:left="60" w:right="60"/>
      <w:jc w:val="right"/>
    </w:pPr>
    <w:rPr>
      <w:color w:val="114767"/>
      <w:sz w:val="18"/>
      <w:szCs w:val="18"/>
    </w:rPr>
  </w:style>
  <w:style w:type="paragraph" w:customStyle="1" w:styleId="zapatitm">
    <w:name w:val="zapatitm"/>
    <w:basedOn w:val="Normln"/>
    <w:pPr>
      <w:spacing w:before="60" w:after="60"/>
      <w:ind w:left="60" w:right="60"/>
      <w:jc w:val="center"/>
    </w:pPr>
    <w:rPr>
      <w:color w:val="114767"/>
      <w:sz w:val="18"/>
      <w:szCs w:val="18"/>
    </w:rPr>
  </w:style>
  <w:style w:type="paragraph" w:customStyle="1" w:styleId="tablespcss">
    <w:name w:val="tablespcss"/>
    <w:basedOn w:val="Norml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60" w:after="60"/>
      <w:ind w:left="60" w:right="60"/>
    </w:pPr>
  </w:style>
  <w:style w:type="paragraph" w:customStyle="1" w:styleId="discussion-message">
    <w:name w:val="discussion-message"/>
    <w:basedOn w:val="Normln"/>
    <w:pPr>
      <w:spacing w:before="60" w:after="120"/>
      <w:ind w:left="60" w:right="60"/>
    </w:pPr>
  </w:style>
  <w:style w:type="paragraph" w:customStyle="1" w:styleId="info">
    <w:name w:val="info"/>
    <w:basedOn w:val="Normln"/>
    <w:pPr>
      <w:spacing w:before="60" w:after="60"/>
      <w:ind w:left="60" w:right="60"/>
    </w:pPr>
  </w:style>
  <w:style w:type="paragraph" w:customStyle="1" w:styleId="text">
    <w:name w:val="text"/>
    <w:basedOn w:val="Normln"/>
    <w:pPr>
      <w:spacing w:before="60" w:after="60"/>
      <w:ind w:left="60" w:right="60"/>
    </w:pPr>
  </w:style>
  <w:style w:type="paragraph" w:customStyle="1" w:styleId="bold">
    <w:name w:val="bold"/>
    <w:basedOn w:val="Normln"/>
    <w:pPr>
      <w:spacing w:before="60" w:after="60"/>
      <w:ind w:left="60" w:right="60"/>
    </w:pPr>
    <w:rPr>
      <w:b/>
      <w:bCs/>
    </w:rPr>
  </w:style>
  <w:style w:type="paragraph" w:customStyle="1" w:styleId="textleft">
    <w:name w:val="textleft"/>
    <w:basedOn w:val="Normln"/>
    <w:pPr>
      <w:spacing w:before="60" w:after="60"/>
      <w:ind w:left="60" w:right="60"/>
    </w:pPr>
  </w:style>
  <w:style w:type="paragraph" w:customStyle="1" w:styleId="textright">
    <w:name w:val="textright"/>
    <w:basedOn w:val="Normln"/>
    <w:pPr>
      <w:spacing w:before="60" w:after="60"/>
      <w:ind w:left="60" w:right="60"/>
      <w:jc w:val="right"/>
    </w:pPr>
  </w:style>
  <w:style w:type="paragraph" w:customStyle="1" w:styleId="textcenter">
    <w:name w:val="textcenter"/>
    <w:basedOn w:val="Normln"/>
    <w:pPr>
      <w:spacing w:before="60" w:after="60"/>
      <w:ind w:left="60" w:right="60"/>
      <w:jc w:val="center"/>
    </w:pPr>
  </w:style>
  <w:style w:type="paragraph" w:customStyle="1" w:styleId="info1">
    <w:name w:val="info1"/>
    <w:basedOn w:val="Normln"/>
    <w:pPr>
      <w:shd w:val="clear" w:color="auto" w:fill="EEEEEE"/>
      <w:spacing w:before="60" w:after="60"/>
      <w:ind w:left="60" w:right="60"/>
    </w:pPr>
  </w:style>
  <w:style w:type="paragraph" w:customStyle="1" w:styleId="text1">
    <w:name w:val="text1"/>
    <w:basedOn w:val="Normln"/>
    <w:pPr>
      <w:spacing w:before="60" w:after="60"/>
      <w:ind w:left="60" w:right="60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me">
    <w:name w:val="name"/>
    <w:basedOn w:val="Standardnpsmoodstavce"/>
  </w:style>
  <w:style w:type="paragraph" w:styleId="Odstavecseseznamem">
    <w:name w:val="List Paragraph"/>
    <w:basedOn w:val="Normln"/>
    <w:uiPriority w:val="34"/>
    <w:qFormat/>
    <w:rsid w:val="00F012B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2487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RYTÍŘ Tomáš Ing.</dc:creator>
  <cp:keywords/>
  <dc:description/>
  <cp:lastModifiedBy>Ing. Jaroslav Bergman</cp:lastModifiedBy>
  <cp:revision>11</cp:revision>
  <cp:lastPrinted>2024-03-27T10:23:00Z</cp:lastPrinted>
  <dcterms:created xsi:type="dcterms:W3CDTF">2024-03-15T13:43:00Z</dcterms:created>
  <dcterms:modified xsi:type="dcterms:W3CDTF">2026-03-09T11:19:00Z</dcterms:modified>
</cp:coreProperties>
</file>